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2A8CD">
      <w:pPr>
        <w:ind w:firstLine="368" w:firstLineChars="100"/>
        <w:rPr>
          <w:rFonts w:hint="eastAsia" w:ascii="宋体" w:hAnsi="宋体" w:cs="宋体" w:eastAsiaTheme="minorEastAsia"/>
          <w:b/>
          <w:bCs/>
          <w:spacing w:val="-17"/>
          <w:sz w:val="40"/>
          <w:szCs w:val="40"/>
          <w:lang w:eastAsia="zh-CN"/>
        </w:rPr>
      </w:pPr>
      <w:r>
        <w:rPr>
          <w:rFonts w:hint="eastAsia" w:ascii="宋体" w:hAnsi="宋体" w:cs="宋体"/>
          <w:b/>
          <w:bCs/>
          <w:spacing w:val="-17"/>
          <w:sz w:val="40"/>
          <w:szCs w:val="40"/>
          <w:lang w:val="en-US" w:eastAsia="zh-CN"/>
        </w:rPr>
        <w:t>枞阳</w:t>
      </w:r>
      <w:r>
        <w:rPr>
          <w:rFonts w:hint="eastAsia" w:ascii="宋体" w:hAnsi="宋体" w:cs="宋体" w:eastAsiaTheme="minorEastAsia"/>
          <w:b/>
          <w:bCs/>
          <w:spacing w:val="-17"/>
          <w:sz w:val="40"/>
          <w:szCs w:val="40"/>
          <w:lang w:eastAsia="zh-CN"/>
        </w:rPr>
        <w:t>县人民医院传染病智能监测预警前置软硬件</w:t>
      </w:r>
    </w:p>
    <w:p w14:paraId="59000218">
      <w:pPr>
        <w:ind w:firstLine="1838" w:firstLineChars="500"/>
        <w:rPr>
          <w:rFonts w:hint="eastAsia" w:ascii="宋体" w:hAnsi="宋体" w:cs="宋体"/>
          <w:b/>
          <w:bCs/>
          <w:spacing w:val="-17"/>
          <w:sz w:val="40"/>
          <w:szCs w:val="40"/>
          <w:lang w:val="en-US" w:eastAsia="zh-CN"/>
        </w:rPr>
      </w:pPr>
      <w:r>
        <w:rPr>
          <w:rFonts w:hint="eastAsia" w:ascii="宋体" w:hAnsi="宋体" w:cs="宋体" w:eastAsiaTheme="minorEastAsia"/>
          <w:b/>
          <w:bCs/>
          <w:spacing w:val="-17"/>
          <w:sz w:val="40"/>
          <w:szCs w:val="40"/>
          <w:lang w:eastAsia="zh-CN"/>
        </w:rPr>
        <w:t>采购项目</w:t>
      </w:r>
      <w:bookmarkStart w:id="0" w:name="_GoBack"/>
      <w:bookmarkEnd w:id="0"/>
      <w:r>
        <w:rPr>
          <w:rFonts w:hint="eastAsia" w:ascii="宋体" w:hAnsi="宋体" w:cs="宋体"/>
          <w:b/>
          <w:bCs/>
          <w:spacing w:val="-17"/>
          <w:sz w:val="40"/>
          <w:szCs w:val="40"/>
          <w:lang w:val="en-US" w:eastAsia="zh-CN"/>
        </w:rPr>
        <w:t>采购需求</w:t>
      </w:r>
    </w:p>
    <w:p w14:paraId="7EF4EF80">
      <w:pPr>
        <w:bidi w:val="0"/>
        <w:rPr>
          <w:rFonts w:hint="eastAsia" w:asciiTheme="minorHAnsi" w:hAnsiTheme="minorHAnsi" w:eastAsiaTheme="minorEastAsia" w:cstheme="minorBidi"/>
          <w:kern w:val="2"/>
          <w:sz w:val="21"/>
          <w:szCs w:val="24"/>
          <w:lang w:val="en-US" w:eastAsia="zh-CN" w:bidi="ar-SA"/>
        </w:rPr>
      </w:pPr>
    </w:p>
    <w:p w14:paraId="2F878918">
      <w:pPr>
        <w:keepNext/>
        <w:keepLines w:val="0"/>
        <w:pageBreakBefore w:val="0"/>
        <w:suppressLineNumbers/>
        <w:suppressAutoHyphens/>
        <w:kinsoku/>
        <w:wordWrap w:val="0"/>
        <w:overflowPunct/>
        <w:bidi w:val="0"/>
        <w:adjustRightInd w:val="0"/>
        <w:snapToGrid w:val="0"/>
        <w:spacing w:line="480" w:lineRule="exact"/>
        <w:rPr>
          <w:rFonts w:hint="eastAsia" w:ascii="宋体" w:hAnsi="宋体" w:cs="宋体"/>
          <w:b/>
          <w:kern w:val="0"/>
          <w:sz w:val="28"/>
          <w:szCs w:val="28"/>
          <w:lang w:val="en-US" w:eastAsia="zh-CN"/>
        </w:rPr>
      </w:pPr>
      <w:r>
        <w:rPr>
          <w:rFonts w:hint="eastAsia" w:ascii="宋体" w:hAnsi="宋体" w:eastAsia="宋体" w:cs="宋体"/>
          <w:b/>
          <w:kern w:val="0"/>
          <w:sz w:val="28"/>
          <w:szCs w:val="28"/>
          <w:lang w:val="en-US" w:eastAsia="zh-CN"/>
        </w:rPr>
        <w:t>一</w:t>
      </w:r>
      <w:r>
        <w:rPr>
          <w:rFonts w:hint="eastAsia" w:ascii="宋体" w:hAnsi="宋体" w:eastAsia="宋体" w:cs="宋体"/>
          <w:b/>
          <w:kern w:val="0"/>
          <w:sz w:val="28"/>
          <w:szCs w:val="28"/>
        </w:rPr>
        <w:t>、</w:t>
      </w:r>
      <w:r>
        <w:rPr>
          <w:rFonts w:hint="eastAsia" w:ascii="宋体" w:hAnsi="宋体" w:cs="宋体"/>
          <w:b/>
          <w:kern w:val="0"/>
          <w:sz w:val="28"/>
          <w:szCs w:val="28"/>
          <w:lang w:val="en-US" w:eastAsia="zh-CN"/>
        </w:rPr>
        <w:t>采购内容及要求</w:t>
      </w:r>
    </w:p>
    <w:p w14:paraId="4E28EA94">
      <w:pPr>
        <w:keepNext/>
        <w:keepLines w:val="0"/>
        <w:pageBreakBefore w:val="0"/>
        <w:suppressLineNumbers/>
        <w:suppressAutoHyphens/>
        <w:kinsoku/>
        <w:wordWrap w:val="0"/>
        <w:overflowPunct/>
        <w:bidi w:val="0"/>
        <w:adjustRightInd w:val="0"/>
        <w:snapToGrid w:val="0"/>
        <w:spacing w:line="480" w:lineRule="exact"/>
        <w:ind w:firstLine="560" w:firstLineChars="200"/>
        <w:rPr>
          <w:rFonts w:hint="eastAsia" w:ascii="宋体" w:hAnsi="宋体" w:cs="宋体"/>
          <w:kern w:val="2"/>
          <w:sz w:val="28"/>
          <w:szCs w:val="28"/>
          <w:lang w:val="en-US" w:eastAsia="zh-CN" w:bidi="ar-SA"/>
        </w:rPr>
      </w:pPr>
      <w:r>
        <w:rPr>
          <w:rFonts w:hint="eastAsia" w:ascii="宋体" w:hAnsi="宋体" w:eastAsia="宋体" w:cs="宋体"/>
          <w:kern w:val="2"/>
          <w:sz w:val="28"/>
          <w:szCs w:val="28"/>
          <w:lang w:val="en-US" w:eastAsia="zh-CN" w:bidi="ar-SA"/>
        </w:rPr>
        <w:t>根据国家疾病预防控制局综合司《国疾控综规财函【2024】71号》等文件精神，结合我院实际情况，拟进行“枞阳县人民医院传染病智能监测预警前置软硬件项目”采购</w:t>
      </w:r>
      <w:r>
        <w:rPr>
          <w:rFonts w:hint="eastAsia" w:ascii="宋体" w:hAnsi="宋体" w:cs="宋体"/>
          <w:kern w:val="2"/>
          <w:sz w:val="28"/>
          <w:szCs w:val="28"/>
          <w:lang w:val="en-US" w:eastAsia="zh-CN" w:bidi="ar-SA"/>
        </w:rPr>
        <w:t>。</w:t>
      </w:r>
    </w:p>
    <w:p w14:paraId="7EA156BA">
      <w:pPr>
        <w:numPr>
          <w:ilvl w:val="0"/>
          <w:numId w:val="0"/>
        </w:numPr>
        <w:adjustRightInd w:val="0"/>
        <w:snapToGrid w:val="0"/>
        <w:spacing w:line="360" w:lineRule="auto"/>
        <w:rPr>
          <w:rFonts w:ascii="宋体" w:hAnsi="宋体" w:cs="宋体"/>
          <w:b/>
          <w:bCs/>
          <w:sz w:val="28"/>
          <w:szCs w:val="28"/>
        </w:rPr>
      </w:pPr>
      <w:r>
        <w:rPr>
          <w:rFonts w:hint="eastAsia" w:ascii="宋体" w:hAnsi="宋体" w:cs="宋体"/>
          <w:b/>
          <w:bCs/>
          <w:sz w:val="28"/>
          <w:szCs w:val="28"/>
          <w:lang w:eastAsia="zh-CN"/>
        </w:rPr>
        <w:t>（</w:t>
      </w:r>
      <w:r>
        <w:rPr>
          <w:rFonts w:hint="eastAsia" w:ascii="宋体" w:hAnsi="宋体" w:cs="宋体"/>
          <w:b/>
          <w:bCs/>
          <w:sz w:val="28"/>
          <w:szCs w:val="28"/>
          <w:lang w:val="en-US" w:eastAsia="zh-CN"/>
        </w:rPr>
        <w:t>一</w:t>
      </w:r>
      <w:r>
        <w:rPr>
          <w:rFonts w:hint="eastAsia" w:ascii="宋体" w:hAnsi="宋体" w:cs="宋体"/>
          <w:b/>
          <w:bCs/>
          <w:sz w:val="28"/>
          <w:szCs w:val="28"/>
          <w:lang w:eastAsia="zh-CN"/>
        </w:rPr>
        <w:t>）</w:t>
      </w:r>
      <w:r>
        <w:rPr>
          <w:rFonts w:hint="eastAsia" w:ascii="宋体" w:hAnsi="宋体" w:cs="宋体"/>
          <w:b/>
          <w:bCs/>
          <w:sz w:val="28"/>
          <w:szCs w:val="28"/>
        </w:rPr>
        <w:t>采购内容</w:t>
      </w:r>
    </w:p>
    <w:tbl>
      <w:tblPr>
        <w:tblStyle w:val="6"/>
        <w:tblW w:w="9611" w:type="dxa"/>
        <w:jc w:val="center"/>
        <w:tblLayout w:type="fixed"/>
        <w:tblCellMar>
          <w:top w:w="0" w:type="dxa"/>
          <w:left w:w="108" w:type="dxa"/>
          <w:bottom w:w="0" w:type="dxa"/>
          <w:right w:w="108" w:type="dxa"/>
        </w:tblCellMar>
      </w:tblPr>
      <w:tblGrid>
        <w:gridCol w:w="961"/>
        <w:gridCol w:w="5850"/>
        <w:gridCol w:w="1400"/>
        <w:gridCol w:w="1400"/>
      </w:tblGrid>
      <w:tr w14:paraId="4F5EFA29">
        <w:tblPrEx>
          <w:tblCellMar>
            <w:top w:w="0" w:type="dxa"/>
            <w:left w:w="108" w:type="dxa"/>
            <w:bottom w:w="0" w:type="dxa"/>
            <w:right w:w="108" w:type="dxa"/>
          </w:tblCellMar>
        </w:tblPrEx>
        <w:trPr>
          <w:trHeight w:val="825" w:hRule="atLeast"/>
          <w:jc w:val="center"/>
        </w:trPr>
        <w:tc>
          <w:tcPr>
            <w:tcW w:w="961" w:type="dxa"/>
            <w:tcBorders>
              <w:top w:val="single" w:color="auto" w:sz="4" w:space="0"/>
              <w:left w:val="single" w:color="auto" w:sz="4" w:space="0"/>
              <w:bottom w:val="single" w:color="auto" w:sz="4" w:space="0"/>
              <w:right w:val="single" w:color="auto" w:sz="4" w:space="0"/>
            </w:tcBorders>
            <w:noWrap/>
            <w:vAlign w:val="center"/>
          </w:tcPr>
          <w:p w14:paraId="196CEDEA">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序号</w:t>
            </w:r>
          </w:p>
        </w:tc>
        <w:tc>
          <w:tcPr>
            <w:tcW w:w="5850" w:type="dxa"/>
            <w:tcBorders>
              <w:top w:val="single" w:color="auto" w:sz="4" w:space="0"/>
              <w:left w:val="nil"/>
              <w:bottom w:val="single" w:color="auto" w:sz="4" w:space="0"/>
              <w:right w:val="single" w:color="auto" w:sz="4" w:space="0"/>
            </w:tcBorders>
            <w:noWrap/>
            <w:vAlign w:val="center"/>
          </w:tcPr>
          <w:p w14:paraId="49FA9E64">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名称</w:t>
            </w:r>
          </w:p>
        </w:tc>
        <w:tc>
          <w:tcPr>
            <w:tcW w:w="1400" w:type="dxa"/>
            <w:tcBorders>
              <w:top w:val="single" w:color="auto" w:sz="4" w:space="0"/>
              <w:left w:val="nil"/>
              <w:bottom w:val="single" w:color="auto" w:sz="4" w:space="0"/>
              <w:right w:val="single" w:color="auto" w:sz="4" w:space="0"/>
            </w:tcBorders>
            <w:noWrap/>
            <w:vAlign w:val="center"/>
          </w:tcPr>
          <w:p w14:paraId="16C26369">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单位</w:t>
            </w:r>
          </w:p>
        </w:tc>
        <w:tc>
          <w:tcPr>
            <w:tcW w:w="1400" w:type="dxa"/>
            <w:tcBorders>
              <w:top w:val="single" w:color="auto" w:sz="4" w:space="0"/>
              <w:left w:val="nil"/>
              <w:bottom w:val="single" w:color="auto" w:sz="4" w:space="0"/>
              <w:right w:val="single" w:color="auto" w:sz="4" w:space="0"/>
            </w:tcBorders>
            <w:noWrap/>
            <w:vAlign w:val="center"/>
          </w:tcPr>
          <w:p w14:paraId="17F5F529">
            <w:pPr>
              <w:spacing w:line="360" w:lineRule="auto"/>
              <w:jc w:val="center"/>
              <w:rPr>
                <w:rFonts w:hint="eastAsia" w:ascii="宋体" w:hAnsi="宋体" w:eastAsia="宋体" w:cs="宋体"/>
                <w:sz w:val="32"/>
                <w:szCs w:val="32"/>
              </w:rPr>
            </w:pPr>
            <w:r>
              <w:rPr>
                <w:rFonts w:hint="eastAsia" w:ascii="宋体" w:hAnsi="宋体" w:eastAsia="宋体" w:cs="宋体"/>
                <w:sz w:val="24"/>
                <w:szCs w:val="24"/>
              </w:rPr>
              <w:t>数量</w:t>
            </w:r>
          </w:p>
        </w:tc>
      </w:tr>
      <w:tr w14:paraId="035AE481">
        <w:tblPrEx>
          <w:tblCellMar>
            <w:top w:w="0" w:type="dxa"/>
            <w:left w:w="108" w:type="dxa"/>
            <w:bottom w:w="0" w:type="dxa"/>
            <w:right w:w="108" w:type="dxa"/>
          </w:tblCellMar>
        </w:tblPrEx>
        <w:trPr>
          <w:trHeight w:val="735" w:hRule="atLeast"/>
          <w:jc w:val="center"/>
        </w:trPr>
        <w:tc>
          <w:tcPr>
            <w:tcW w:w="961" w:type="dxa"/>
            <w:tcBorders>
              <w:top w:val="nil"/>
              <w:left w:val="single" w:color="auto" w:sz="4" w:space="0"/>
              <w:bottom w:val="single" w:color="auto" w:sz="4" w:space="0"/>
              <w:right w:val="single" w:color="auto" w:sz="4" w:space="0"/>
            </w:tcBorders>
            <w:noWrap/>
            <w:vAlign w:val="center"/>
          </w:tcPr>
          <w:p w14:paraId="38509F4F">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c>
          <w:tcPr>
            <w:tcW w:w="5850" w:type="dxa"/>
            <w:tcBorders>
              <w:top w:val="nil"/>
              <w:left w:val="nil"/>
              <w:bottom w:val="single" w:color="auto" w:sz="4" w:space="0"/>
              <w:right w:val="single" w:color="auto" w:sz="4" w:space="0"/>
            </w:tcBorders>
            <w:noWrap/>
            <w:vAlign w:val="center"/>
          </w:tcPr>
          <w:p w14:paraId="2F780441">
            <w:pPr>
              <w:spacing w:line="360" w:lineRule="auto"/>
              <w:jc w:val="center"/>
              <w:rPr>
                <w:rFonts w:hint="eastAsia" w:ascii="宋体" w:hAnsi="宋体" w:eastAsia="宋体" w:cs="宋体"/>
                <w:sz w:val="32"/>
                <w:szCs w:val="32"/>
              </w:rPr>
            </w:pPr>
            <w:r>
              <w:rPr>
                <w:rFonts w:hint="eastAsia" w:ascii="宋体" w:hAnsi="宋体" w:eastAsia="宋体" w:cs="宋体"/>
                <w:color w:val="000000"/>
                <w:sz w:val="24"/>
                <w:szCs w:val="24"/>
              </w:rPr>
              <w:t>传染病智能监测预警前置软件信创服务器</w:t>
            </w:r>
          </w:p>
        </w:tc>
        <w:tc>
          <w:tcPr>
            <w:tcW w:w="1400" w:type="dxa"/>
            <w:tcBorders>
              <w:top w:val="nil"/>
              <w:left w:val="nil"/>
              <w:bottom w:val="single" w:color="auto" w:sz="4" w:space="0"/>
              <w:right w:val="single" w:color="auto" w:sz="4" w:space="0"/>
            </w:tcBorders>
            <w:noWrap/>
            <w:vAlign w:val="center"/>
          </w:tcPr>
          <w:p w14:paraId="6B329651">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台</w:t>
            </w:r>
          </w:p>
        </w:tc>
        <w:tc>
          <w:tcPr>
            <w:tcW w:w="1400" w:type="dxa"/>
            <w:tcBorders>
              <w:top w:val="single" w:color="auto" w:sz="4" w:space="0"/>
              <w:left w:val="nil"/>
              <w:bottom w:val="single" w:color="auto" w:sz="4" w:space="0"/>
              <w:right w:val="single" w:color="auto" w:sz="4" w:space="0"/>
            </w:tcBorders>
            <w:noWrap/>
            <w:vAlign w:val="center"/>
          </w:tcPr>
          <w:p w14:paraId="34A3469D">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r w14:paraId="78C21F85">
        <w:tblPrEx>
          <w:tblCellMar>
            <w:top w:w="0" w:type="dxa"/>
            <w:left w:w="108" w:type="dxa"/>
            <w:bottom w:w="0" w:type="dxa"/>
            <w:right w:w="108" w:type="dxa"/>
          </w:tblCellMar>
        </w:tblPrEx>
        <w:trPr>
          <w:trHeight w:val="577" w:hRule="atLeast"/>
          <w:jc w:val="center"/>
        </w:trPr>
        <w:tc>
          <w:tcPr>
            <w:tcW w:w="961" w:type="dxa"/>
            <w:tcBorders>
              <w:top w:val="nil"/>
              <w:left w:val="single" w:color="auto" w:sz="4" w:space="0"/>
              <w:bottom w:val="single" w:color="auto" w:sz="4" w:space="0"/>
              <w:right w:val="single" w:color="auto" w:sz="4" w:space="0"/>
            </w:tcBorders>
            <w:noWrap/>
            <w:vAlign w:val="center"/>
          </w:tcPr>
          <w:p w14:paraId="5FAC7B36">
            <w:pPr>
              <w:spacing w:line="360" w:lineRule="auto"/>
              <w:jc w:val="center"/>
              <w:rPr>
                <w:rFonts w:hint="eastAsia" w:ascii="宋体" w:hAnsi="宋体" w:eastAsia="宋体" w:cs="宋体"/>
                <w:sz w:val="32"/>
                <w:szCs w:val="32"/>
              </w:rPr>
            </w:pPr>
            <w:r>
              <w:rPr>
                <w:rFonts w:hint="eastAsia" w:ascii="宋体" w:hAnsi="宋体" w:eastAsia="宋体" w:cs="宋体"/>
                <w:sz w:val="24"/>
                <w:szCs w:val="24"/>
              </w:rPr>
              <w:t>2</w:t>
            </w:r>
          </w:p>
        </w:tc>
        <w:tc>
          <w:tcPr>
            <w:tcW w:w="5850" w:type="dxa"/>
            <w:tcBorders>
              <w:top w:val="nil"/>
              <w:left w:val="nil"/>
              <w:bottom w:val="single" w:color="auto" w:sz="4" w:space="0"/>
              <w:right w:val="single" w:color="auto" w:sz="4" w:space="0"/>
            </w:tcBorders>
            <w:noWrap/>
            <w:vAlign w:val="center"/>
          </w:tcPr>
          <w:p w14:paraId="3CC3E414">
            <w:pPr>
              <w:spacing w:line="360" w:lineRule="auto"/>
              <w:jc w:val="center"/>
              <w:rPr>
                <w:rFonts w:hint="eastAsia" w:ascii="宋体" w:hAnsi="宋体" w:eastAsia="宋体" w:cs="宋体"/>
                <w:sz w:val="32"/>
                <w:szCs w:val="32"/>
              </w:rPr>
            </w:pPr>
            <w:r>
              <w:rPr>
                <w:rFonts w:hint="eastAsia" w:ascii="宋体" w:hAnsi="宋体" w:eastAsia="宋体" w:cs="宋体"/>
                <w:color w:val="000000"/>
                <w:kern w:val="0"/>
                <w:sz w:val="24"/>
                <w:szCs w:val="24"/>
              </w:rPr>
              <w:t>疾控商密安全网关</w:t>
            </w:r>
          </w:p>
        </w:tc>
        <w:tc>
          <w:tcPr>
            <w:tcW w:w="1400" w:type="dxa"/>
            <w:tcBorders>
              <w:top w:val="nil"/>
              <w:left w:val="nil"/>
              <w:bottom w:val="single" w:color="auto" w:sz="4" w:space="0"/>
              <w:right w:val="single" w:color="auto" w:sz="4" w:space="0"/>
            </w:tcBorders>
            <w:noWrap/>
            <w:vAlign w:val="center"/>
          </w:tcPr>
          <w:p w14:paraId="09E78294">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台</w:t>
            </w:r>
          </w:p>
        </w:tc>
        <w:tc>
          <w:tcPr>
            <w:tcW w:w="1400" w:type="dxa"/>
            <w:tcBorders>
              <w:top w:val="single" w:color="auto" w:sz="4" w:space="0"/>
              <w:left w:val="nil"/>
              <w:bottom w:val="single" w:color="auto" w:sz="4" w:space="0"/>
              <w:right w:val="single" w:color="auto" w:sz="4" w:space="0"/>
            </w:tcBorders>
            <w:noWrap/>
            <w:vAlign w:val="center"/>
          </w:tcPr>
          <w:p w14:paraId="223A5C9A">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r w14:paraId="26CDF281">
        <w:tblPrEx>
          <w:tblCellMar>
            <w:top w:w="0" w:type="dxa"/>
            <w:left w:w="108" w:type="dxa"/>
            <w:bottom w:w="0" w:type="dxa"/>
            <w:right w:w="108" w:type="dxa"/>
          </w:tblCellMar>
        </w:tblPrEx>
        <w:trPr>
          <w:trHeight w:val="614" w:hRule="atLeast"/>
          <w:jc w:val="center"/>
        </w:trPr>
        <w:tc>
          <w:tcPr>
            <w:tcW w:w="961" w:type="dxa"/>
            <w:tcBorders>
              <w:top w:val="single" w:color="auto" w:sz="4" w:space="0"/>
              <w:left w:val="single" w:color="auto" w:sz="4" w:space="0"/>
              <w:bottom w:val="single" w:color="auto" w:sz="4" w:space="0"/>
              <w:right w:val="single" w:color="auto" w:sz="4" w:space="0"/>
            </w:tcBorders>
            <w:noWrap/>
            <w:vAlign w:val="center"/>
          </w:tcPr>
          <w:p w14:paraId="6AF1B0A4">
            <w:pPr>
              <w:spacing w:line="360" w:lineRule="auto"/>
              <w:jc w:val="center"/>
              <w:rPr>
                <w:rFonts w:hint="eastAsia" w:ascii="宋体" w:hAnsi="宋体" w:eastAsia="宋体" w:cs="宋体"/>
                <w:sz w:val="32"/>
                <w:szCs w:val="32"/>
              </w:rPr>
            </w:pPr>
            <w:r>
              <w:rPr>
                <w:rFonts w:hint="eastAsia" w:ascii="宋体" w:hAnsi="宋体" w:eastAsia="宋体" w:cs="宋体"/>
                <w:sz w:val="24"/>
                <w:szCs w:val="24"/>
              </w:rPr>
              <w:t>3</w:t>
            </w:r>
          </w:p>
        </w:tc>
        <w:tc>
          <w:tcPr>
            <w:tcW w:w="5850" w:type="dxa"/>
            <w:tcBorders>
              <w:top w:val="single" w:color="auto" w:sz="4" w:space="0"/>
              <w:left w:val="single" w:color="auto" w:sz="4" w:space="0"/>
              <w:bottom w:val="single" w:color="auto" w:sz="4" w:space="0"/>
              <w:right w:val="single" w:color="auto" w:sz="4" w:space="0"/>
            </w:tcBorders>
            <w:noWrap/>
            <w:vAlign w:val="center"/>
          </w:tcPr>
          <w:p w14:paraId="695910E3">
            <w:pPr>
              <w:spacing w:line="360" w:lineRule="auto"/>
              <w:jc w:val="center"/>
              <w:rPr>
                <w:rFonts w:hint="eastAsia" w:ascii="宋体" w:hAnsi="宋体" w:eastAsia="宋体" w:cs="宋体"/>
                <w:sz w:val="32"/>
                <w:szCs w:val="32"/>
              </w:rPr>
            </w:pPr>
            <w:r>
              <w:rPr>
                <w:rFonts w:hint="eastAsia" w:ascii="宋体" w:hAnsi="宋体" w:eastAsia="宋体" w:cs="宋体"/>
                <w:color w:val="000000"/>
                <w:kern w:val="0"/>
                <w:sz w:val="24"/>
                <w:szCs w:val="24"/>
              </w:rPr>
              <w:t>集成、前置软件部署及调试服务</w:t>
            </w:r>
          </w:p>
        </w:tc>
        <w:tc>
          <w:tcPr>
            <w:tcW w:w="1400" w:type="dxa"/>
            <w:tcBorders>
              <w:top w:val="single" w:color="auto" w:sz="4" w:space="0"/>
              <w:left w:val="single" w:color="auto" w:sz="4" w:space="0"/>
              <w:bottom w:val="single" w:color="auto" w:sz="4" w:space="0"/>
              <w:right w:val="single" w:color="auto" w:sz="4" w:space="0"/>
            </w:tcBorders>
            <w:noWrap/>
            <w:vAlign w:val="center"/>
          </w:tcPr>
          <w:p w14:paraId="0D63B4BF">
            <w:pPr>
              <w:spacing w:line="360" w:lineRule="auto"/>
              <w:jc w:val="center"/>
              <w:rPr>
                <w:rFonts w:hint="eastAsia" w:ascii="宋体" w:hAnsi="宋体" w:eastAsia="宋体" w:cs="宋体"/>
                <w:sz w:val="32"/>
                <w:szCs w:val="32"/>
              </w:rPr>
            </w:pPr>
            <w:r>
              <w:rPr>
                <w:rFonts w:hint="eastAsia" w:ascii="宋体" w:hAnsi="宋体" w:eastAsia="宋体" w:cs="宋体"/>
                <w:sz w:val="24"/>
                <w:szCs w:val="24"/>
              </w:rPr>
              <w:t>项</w:t>
            </w:r>
          </w:p>
        </w:tc>
        <w:tc>
          <w:tcPr>
            <w:tcW w:w="1400" w:type="dxa"/>
            <w:tcBorders>
              <w:top w:val="single" w:color="auto" w:sz="4" w:space="0"/>
              <w:left w:val="single" w:color="auto" w:sz="4" w:space="0"/>
              <w:bottom w:val="single" w:color="auto" w:sz="4" w:space="0"/>
              <w:right w:val="single" w:color="auto" w:sz="4" w:space="0"/>
            </w:tcBorders>
            <w:noWrap/>
            <w:vAlign w:val="center"/>
          </w:tcPr>
          <w:p w14:paraId="686F6BAB">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r w14:paraId="004F9FD8">
        <w:tblPrEx>
          <w:tblCellMar>
            <w:top w:w="0" w:type="dxa"/>
            <w:left w:w="108" w:type="dxa"/>
            <w:bottom w:w="0" w:type="dxa"/>
            <w:right w:w="108" w:type="dxa"/>
          </w:tblCellMar>
        </w:tblPrEx>
        <w:trPr>
          <w:trHeight w:val="614" w:hRule="atLeast"/>
          <w:jc w:val="center"/>
        </w:trPr>
        <w:tc>
          <w:tcPr>
            <w:tcW w:w="961" w:type="dxa"/>
            <w:tcBorders>
              <w:top w:val="single" w:color="auto" w:sz="4" w:space="0"/>
              <w:left w:val="single" w:color="auto" w:sz="4" w:space="0"/>
              <w:bottom w:val="single" w:color="auto" w:sz="4" w:space="0"/>
              <w:right w:val="single" w:color="auto" w:sz="4" w:space="0"/>
            </w:tcBorders>
            <w:noWrap/>
            <w:vAlign w:val="center"/>
          </w:tcPr>
          <w:p w14:paraId="265678A1">
            <w:pPr>
              <w:spacing w:line="360" w:lineRule="auto"/>
              <w:jc w:val="center"/>
              <w:rPr>
                <w:rFonts w:hint="eastAsia" w:ascii="宋体" w:hAnsi="宋体" w:eastAsia="宋体" w:cs="宋体"/>
                <w:sz w:val="32"/>
                <w:szCs w:val="32"/>
              </w:rPr>
            </w:pPr>
            <w:r>
              <w:rPr>
                <w:rFonts w:hint="eastAsia" w:ascii="宋体" w:hAnsi="宋体" w:eastAsia="宋体" w:cs="宋体"/>
                <w:sz w:val="24"/>
                <w:szCs w:val="24"/>
              </w:rPr>
              <w:t>4</w:t>
            </w:r>
          </w:p>
        </w:tc>
        <w:tc>
          <w:tcPr>
            <w:tcW w:w="5850" w:type="dxa"/>
            <w:tcBorders>
              <w:top w:val="single" w:color="auto" w:sz="4" w:space="0"/>
              <w:left w:val="single" w:color="auto" w:sz="4" w:space="0"/>
              <w:bottom w:val="single" w:color="auto" w:sz="4" w:space="0"/>
              <w:right w:val="single" w:color="auto" w:sz="4" w:space="0"/>
            </w:tcBorders>
            <w:noWrap/>
            <w:vAlign w:val="center"/>
          </w:tcPr>
          <w:p w14:paraId="326B1BA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院内软件开发服务</w:t>
            </w:r>
          </w:p>
        </w:tc>
        <w:tc>
          <w:tcPr>
            <w:tcW w:w="1400" w:type="dxa"/>
            <w:tcBorders>
              <w:top w:val="single" w:color="auto" w:sz="4" w:space="0"/>
              <w:left w:val="single" w:color="auto" w:sz="4" w:space="0"/>
              <w:bottom w:val="single" w:color="auto" w:sz="4" w:space="0"/>
              <w:right w:val="single" w:color="auto" w:sz="4" w:space="0"/>
            </w:tcBorders>
            <w:noWrap/>
            <w:vAlign w:val="center"/>
          </w:tcPr>
          <w:p w14:paraId="3E7E957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8"/>
                <w:szCs w:val="28"/>
              </w:rPr>
              <w:t>项</w:t>
            </w:r>
          </w:p>
        </w:tc>
        <w:tc>
          <w:tcPr>
            <w:tcW w:w="1400" w:type="dxa"/>
            <w:tcBorders>
              <w:top w:val="single" w:color="auto" w:sz="4" w:space="0"/>
              <w:left w:val="single" w:color="auto" w:sz="4" w:space="0"/>
              <w:bottom w:val="single" w:color="auto" w:sz="4" w:space="0"/>
              <w:right w:val="single" w:color="auto" w:sz="4" w:space="0"/>
            </w:tcBorders>
            <w:noWrap/>
            <w:vAlign w:val="center"/>
          </w:tcPr>
          <w:p w14:paraId="634F04E3">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bl>
    <w:p w14:paraId="03A5DA20">
      <w:pPr>
        <w:pStyle w:val="2"/>
        <w:numPr>
          <w:ilvl w:val="0"/>
          <w:numId w:val="0"/>
        </w:numPr>
        <w:rPr>
          <w:rFonts w:hint="eastAsia" w:ascii="宋体" w:hAnsi="宋体" w:cs="宋体"/>
          <w:b/>
          <w:bCs/>
          <w:sz w:val="28"/>
          <w:szCs w:val="28"/>
        </w:rPr>
      </w:pPr>
      <w:r>
        <w:rPr>
          <w:rFonts w:hint="eastAsia" w:ascii="宋体" w:hAnsi="宋体" w:cs="宋体"/>
          <w:b/>
          <w:bCs/>
          <w:sz w:val="28"/>
          <w:szCs w:val="28"/>
          <w:lang w:eastAsia="zh-CN"/>
        </w:rPr>
        <w:t>（</w:t>
      </w:r>
      <w:r>
        <w:rPr>
          <w:rFonts w:hint="eastAsia" w:ascii="宋体" w:hAnsi="宋体" w:cs="宋体"/>
          <w:b/>
          <w:bCs/>
          <w:sz w:val="28"/>
          <w:szCs w:val="28"/>
          <w:lang w:val="en-US" w:eastAsia="zh-CN"/>
        </w:rPr>
        <w:t>二</w:t>
      </w:r>
      <w:r>
        <w:rPr>
          <w:rFonts w:hint="eastAsia" w:ascii="宋体" w:hAnsi="宋体" w:cs="宋体"/>
          <w:b/>
          <w:bCs/>
          <w:sz w:val="28"/>
          <w:szCs w:val="28"/>
          <w:lang w:eastAsia="zh-CN"/>
        </w:rPr>
        <w:t>）</w:t>
      </w:r>
      <w:r>
        <w:rPr>
          <w:rFonts w:hint="eastAsia" w:ascii="宋体" w:hAnsi="宋体" w:cs="宋体"/>
          <w:b/>
          <w:bCs/>
          <w:sz w:val="28"/>
          <w:szCs w:val="28"/>
        </w:rPr>
        <w:t>技术参数要求</w:t>
      </w:r>
    </w:p>
    <w:tbl>
      <w:tblPr>
        <w:tblStyle w:val="6"/>
        <w:tblW w:w="9559" w:type="dxa"/>
        <w:jc w:val="center"/>
        <w:tblLayout w:type="fixed"/>
        <w:tblCellMar>
          <w:top w:w="0" w:type="dxa"/>
          <w:left w:w="0" w:type="dxa"/>
          <w:bottom w:w="0" w:type="dxa"/>
          <w:right w:w="0" w:type="dxa"/>
        </w:tblCellMar>
      </w:tblPr>
      <w:tblGrid>
        <w:gridCol w:w="689"/>
        <w:gridCol w:w="1213"/>
        <w:gridCol w:w="6522"/>
        <w:gridCol w:w="623"/>
        <w:gridCol w:w="512"/>
      </w:tblGrid>
      <w:tr w14:paraId="25D722DE">
        <w:tblPrEx>
          <w:tblCellMar>
            <w:top w:w="0" w:type="dxa"/>
            <w:left w:w="0" w:type="dxa"/>
            <w:bottom w:w="0" w:type="dxa"/>
            <w:right w:w="0" w:type="dxa"/>
          </w:tblCellMar>
        </w:tblPrEx>
        <w:trPr>
          <w:trHeight w:val="495"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273D319">
            <w:pPr>
              <w:widowControl/>
              <w:jc w:val="center"/>
              <w:textAlignment w:val="center"/>
              <w:rPr>
                <w:rFonts w:ascii="宋体" w:hAnsi="宋体" w:cs="宋体"/>
                <w:b/>
                <w:color w:val="000000"/>
                <w:kern w:val="0"/>
                <w:szCs w:val="21"/>
              </w:rPr>
            </w:pPr>
            <w:r>
              <w:rPr>
                <w:rFonts w:hint="eastAsia" w:ascii="宋体" w:hAnsi="宋体" w:cs="宋体"/>
                <w:b/>
                <w:color w:val="000000"/>
                <w:kern w:val="0"/>
                <w:szCs w:val="21"/>
              </w:rPr>
              <w:t>序号</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D34F43C">
            <w:pPr>
              <w:widowControl/>
              <w:jc w:val="center"/>
              <w:textAlignment w:val="center"/>
              <w:rPr>
                <w:rFonts w:ascii="宋体" w:hAnsi="宋体" w:cs="宋体"/>
                <w:b/>
                <w:color w:val="000000"/>
                <w:szCs w:val="21"/>
              </w:rPr>
            </w:pPr>
            <w:r>
              <w:rPr>
                <w:rFonts w:hint="eastAsia" w:ascii="宋体" w:hAnsi="宋体" w:cs="宋体"/>
                <w:b/>
                <w:color w:val="000000"/>
                <w:kern w:val="0"/>
                <w:szCs w:val="21"/>
              </w:rPr>
              <w:t>名称</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8D9FB0B">
            <w:pPr>
              <w:widowControl/>
              <w:jc w:val="center"/>
              <w:textAlignment w:val="center"/>
              <w:rPr>
                <w:rFonts w:ascii="宋体" w:hAnsi="宋体" w:cs="宋体"/>
                <w:b/>
                <w:color w:val="000000"/>
                <w:szCs w:val="21"/>
              </w:rPr>
            </w:pPr>
            <w:r>
              <w:rPr>
                <w:rFonts w:hint="eastAsia" w:ascii="宋体" w:hAnsi="宋体" w:cs="宋体"/>
                <w:b/>
                <w:color w:val="000000"/>
                <w:kern w:val="0"/>
                <w:szCs w:val="21"/>
              </w:rPr>
              <w:t>采购技术参数</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523517F">
            <w:pPr>
              <w:jc w:val="center"/>
              <w:rPr>
                <w:rFonts w:ascii="宋体" w:hAnsi="宋体" w:cs="宋体"/>
                <w:b/>
                <w:bCs/>
                <w:color w:val="000000"/>
                <w:szCs w:val="21"/>
              </w:rPr>
            </w:pPr>
            <w:r>
              <w:rPr>
                <w:rFonts w:hint="eastAsia" w:ascii="宋体" w:hAnsi="宋体" w:cs="宋体"/>
                <w:b/>
                <w:bCs/>
                <w:color w:val="000000"/>
                <w:szCs w:val="21"/>
              </w:rPr>
              <w:t>数量</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16AF8A1">
            <w:pPr>
              <w:jc w:val="center"/>
              <w:rPr>
                <w:rFonts w:ascii="宋体" w:hAnsi="宋体" w:cs="宋体"/>
                <w:b/>
                <w:bCs/>
                <w:color w:val="000000"/>
                <w:szCs w:val="21"/>
              </w:rPr>
            </w:pPr>
            <w:r>
              <w:rPr>
                <w:rFonts w:hint="eastAsia" w:ascii="宋体" w:hAnsi="宋体" w:cs="宋体"/>
                <w:b/>
                <w:bCs/>
                <w:color w:val="000000"/>
                <w:szCs w:val="21"/>
              </w:rPr>
              <w:t>单位</w:t>
            </w:r>
          </w:p>
        </w:tc>
      </w:tr>
      <w:tr w14:paraId="3BDE5DE1">
        <w:tblPrEx>
          <w:tblCellMar>
            <w:top w:w="0" w:type="dxa"/>
            <w:left w:w="0" w:type="dxa"/>
            <w:bottom w:w="0" w:type="dxa"/>
            <w:right w:w="0" w:type="dxa"/>
          </w:tblCellMar>
        </w:tblPrEx>
        <w:trPr>
          <w:trHeight w:val="427"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6392F6E">
            <w:pPr>
              <w:widowControl/>
              <w:jc w:val="center"/>
              <w:textAlignment w:val="center"/>
              <w:rPr>
                <w:rFonts w:ascii="宋体" w:hAnsi="宋体" w:cs="宋体"/>
                <w:b/>
                <w:bCs/>
                <w:color w:val="000000"/>
                <w:szCs w:val="21"/>
              </w:rPr>
            </w:pPr>
            <w:r>
              <w:rPr>
                <w:rFonts w:hint="eastAsia" w:ascii="宋体" w:hAnsi="宋体" w:cs="宋体"/>
                <w:b/>
                <w:bCs/>
                <w:color w:val="000000"/>
                <w:szCs w:val="21"/>
              </w:rPr>
              <w:t>1</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CF2AFA0">
            <w:pPr>
              <w:widowControl/>
              <w:jc w:val="center"/>
              <w:textAlignment w:val="center"/>
              <w:rPr>
                <w:rFonts w:ascii="宋体" w:hAnsi="宋体" w:cs="宋体"/>
                <w:b/>
                <w:szCs w:val="21"/>
              </w:rPr>
            </w:pPr>
            <w:r>
              <w:rPr>
                <w:rFonts w:hint="eastAsia" w:ascii="宋体" w:hAnsi="宋体" w:eastAsia="宋体" w:cs="宋体"/>
                <w:b/>
                <w:bCs/>
                <w:kern w:val="2"/>
                <w:sz w:val="24"/>
                <w:szCs w:val="22"/>
                <w:lang w:val="en-US" w:eastAsia="zh-CN" w:bidi="ar-SA"/>
              </w:rPr>
              <w:t>传染病智能监测预警前置软件服务器</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3D31229">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★1、国产自研处理器*2（单颗CPU≧32核），主频≧2.6GHz；与国家传染病智能监测预警前置软件兼容，具有双方互认的兼容性测试认证证明；</w:t>
            </w:r>
            <w:r>
              <w:rPr>
                <w:rFonts w:hint="eastAsia" w:ascii="宋体" w:hAnsi="宋体" w:eastAsia="宋体" w:cs="宋体"/>
                <w:b/>
                <w:bCs/>
                <w:sz w:val="24"/>
                <w:szCs w:val="22"/>
              </w:rPr>
              <w:t>（投标文件中提供互认证明材料）</w:t>
            </w:r>
          </w:p>
          <w:p w14:paraId="14A12811">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2、内存≧256G；</w:t>
            </w:r>
          </w:p>
          <w:p w14:paraId="60B41CF3">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3、系统盘≧480G*2 SSD，</w:t>
            </w:r>
            <w:r>
              <w:rPr>
                <w:rFonts w:hint="eastAsia" w:ascii="宋体" w:hAnsi="宋体" w:eastAsia="宋体" w:cs="宋体"/>
                <w:color w:val="000000"/>
                <w:sz w:val="24"/>
                <w:szCs w:val="22"/>
              </w:rPr>
              <w:t>存储盘：≧1.92T*2 SSD；</w:t>
            </w:r>
          </w:p>
          <w:p w14:paraId="2E106C24">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4、配置独立 RAID 卡，支持 RAID 0,1,10；</w:t>
            </w:r>
          </w:p>
          <w:p w14:paraId="56652F62">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5、1+1 冗余电源；</w:t>
            </w:r>
          </w:p>
          <w:p w14:paraId="55A2EB55">
            <w:pPr>
              <w:pStyle w:val="5"/>
              <w:spacing w:after="0" w:line="360" w:lineRule="auto"/>
              <w:ind w:left="0" w:leftChars="0" w:firstLine="0" w:firstLineChars="0"/>
              <w:rPr>
                <w:rFonts w:hint="eastAsia" w:ascii="宋体" w:hAnsi="宋体" w:eastAsia="宋体" w:cs="宋体"/>
                <w:sz w:val="24"/>
                <w:szCs w:val="22"/>
              </w:rPr>
            </w:pPr>
            <w:r>
              <w:rPr>
                <w:rFonts w:hint="eastAsia" w:ascii="宋体" w:hAnsi="宋体" w:eastAsia="宋体" w:cs="宋体"/>
                <w:sz w:val="24"/>
                <w:szCs w:val="22"/>
              </w:rPr>
              <w:t>6、配置双网卡（4个千兆电口、2个万兆光口，含模块）；</w:t>
            </w:r>
          </w:p>
          <w:p w14:paraId="02CD0C1C">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7、配置国产操作系统麒麟内核的2颗CPU服务器虚拟化授权；</w:t>
            </w:r>
          </w:p>
          <w:p w14:paraId="5285984A">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★8、支持可靠中心以提供持续数据保护CDP、本地备份、异地容灾等高可用服务，当主平台发生故障时，能够切换到备平台，保障云平台稳定运行。</w:t>
            </w:r>
            <w:r>
              <w:rPr>
                <w:rFonts w:hint="eastAsia" w:ascii="宋体" w:hAnsi="宋体" w:eastAsia="宋体" w:cs="宋体"/>
                <w:b/>
                <w:bCs/>
                <w:sz w:val="24"/>
                <w:szCs w:val="22"/>
              </w:rPr>
              <w:t>（需提供产品功能截图）</w:t>
            </w:r>
          </w:p>
          <w:p w14:paraId="322E079F">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pacing w:val="-6"/>
                <w:sz w:val="24"/>
                <w:szCs w:val="22"/>
              </w:rPr>
              <w:t>9、操作系统：预装麒麟、欧拉或统信等国产操作系统的服务器版；</w:t>
            </w:r>
            <w:r>
              <w:rPr>
                <w:rFonts w:hint="eastAsia" w:ascii="宋体" w:hAnsi="宋体" w:eastAsia="宋体" w:cs="宋体"/>
                <w:sz w:val="24"/>
                <w:szCs w:val="22"/>
              </w:rPr>
              <w:t xml:space="preserve"> </w:t>
            </w:r>
          </w:p>
          <w:p w14:paraId="065FEB47">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 xml:space="preserve">10、数据库：预装OpenGauss或同等架构的数据库； </w:t>
            </w:r>
          </w:p>
          <w:p w14:paraId="45E7E5EF">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11、前置软件：预装国家传染病智能监测预警前置软件；</w:t>
            </w:r>
          </w:p>
          <w:p w14:paraId="792DA831">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12、可通过对硬件资源如CPU、内存等进行池化管理，实现资源的高效利用和灵活分配；</w:t>
            </w:r>
          </w:p>
          <w:p w14:paraId="738980B4">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13、提供统一的管理平台，对虚拟机资源进行配置和监控；</w:t>
            </w:r>
          </w:p>
          <w:p w14:paraId="393F37A4">
            <w:pPr>
              <w:widowControl/>
              <w:spacing w:line="360" w:lineRule="auto"/>
              <w:jc w:val="left"/>
              <w:textAlignment w:val="center"/>
              <w:rPr>
                <w:rFonts w:hint="eastAsia" w:ascii="宋体" w:hAnsi="宋体" w:eastAsia="宋体" w:cs="宋体"/>
                <w:b/>
                <w:bCs/>
                <w:sz w:val="24"/>
                <w:szCs w:val="22"/>
              </w:rPr>
            </w:pPr>
            <w:r>
              <w:rPr>
                <w:rFonts w:hint="eastAsia" w:ascii="宋体" w:hAnsi="宋体" w:eastAsia="宋体" w:cs="宋体"/>
                <w:sz w:val="24"/>
                <w:szCs w:val="22"/>
              </w:rPr>
              <w:t>★14、支持设置告警类型（紧急和普通）、告警内容（集群、主机、虚拟机、CPU、内存、存储），针对告警信息平台可自动给出告警处理建议，同时支持将告警信息以短信和邮件方式发送给管理员.</w:t>
            </w:r>
            <w:r>
              <w:rPr>
                <w:rFonts w:hint="eastAsia" w:ascii="宋体" w:hAnsi="宋体" w:eastAsia="宋体" w:cs="宋体"/>
                <w:b/>
                <w:bCs/>
                <w:sz w:val="24"/>
                <w:szCs w:val="22"/>
              </w:rPr>
              <w:t>（需提供产品功能截图）</w:t>
            </w:r>
          </w:p>
          <w:p w14:paraId="0B520B97">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15、整机提供三年原厂质保、软件升级及上门服务，投标人需在投标文件中提供针对本项目中所采购产品的三年原厂售后服务的承诺函，并加盖投标人公章（格式自拟）。</w:t>
            </w:r>
          </w:p>
          <w:p w14:paraId="77B25DC5">
            <w:pPr>
              <w:spacing w:line="360" w:lineRule="auto"/>
              <w:rPr>
                <w:rFonts w:hint="eastAsia" w:ascii="宋体" w:hAnsi="宋体" w:eastAsia="宋体" w:cs="宋体"/>
                <w:sz w:val="24"/>
                <w:szCs w:val="22"/>
              </w:rPr>
            </w:pPr>
            <w:r>
              <w:rPr>
                <w:rFonts w:hint="eastAsia" w:ascii="宋体" w:hAnsi="宋体" w:eastAsia="宋体" w:cs="宋体"/>
                <w:kern w:val="0"/>
                <w:sz w:val="24"/>
                <w:szCs w:val="24"/>
              </w:rPr>
              <w:t>16、</w:t>
            </w:r>
            <w:r>
              <w:rPr>
                <w:rFonts w:hint="eastAsia" w:ascii="宋体" w:hAnsi="宋体" w:eastAsia="宋体" w:cs="宋体"/>
                <w:color w:val="000000"/>
                <w:kern w:val="0"/>
                <w:sz w:val="24"/>
                <w:szCs w:val="24"/>
              </w:rPr>
              <w:t>服务内容包含但不限于：1）首次现场上架及安装调试；2）配合软件部署；3）无缝接入疾控专网，确保医疗机构与省级平台和国家平台都连通；4）配置好安全防护策略；5）后续疾控相关其他业务的部署及网络对接。6）</w:t>
            </w:r>
            <w:r>
              <w:rPr>
                <w:rFonts w:hint="eastAsia" w:ascii="宋体" w:hAnsi="宋体" w:eastAsia="宋体" w:cs="宋体"/>
                <w:sz w:val="24"/>
                <w:szCs w:val="24"/>
              </w:rPr>
              <w:t>为确保服务器的顺利部署，服务器供应商提供操作系统、数据库的安装部署服务。</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F518419">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2827250">
            <w:pPr>
              <w:jc w:val="center"/>
              <w:rPr>
                <w:rFonts w:ascii="宋体" w:hAnsi="宋体" w:cs="宋体"/>
                <w:color w:val="000000"/>
                <w:sz w:val="24"/>
                <w:szCs w:val="24"/>
              </w:rPr>
            </w:pPr>
            <w:r>
              <w:rPr>
                <w:rFonts w:hint="eastAsia" w:ascii="宋体" w:hAnsi="宋体" w:cs="宋体"/>
                <w:color w:val="000000"/>
                <w:sz w:val="24"/>
                <w:szCs w:val="24"/>
              </w:rPr>
              <w:t>台</w:t>
            </w:r>
          </w:p>
        </w:tc>
      </w:tr>
      <w:tr w14:paraId="4D6A6575">
        <w:tblPrEx>
          <w:tblCellMar>
            <w:top w:w="0" w:type="dxa"/>
            <w:left w:w="0" w:type="dxa"/>
            <w:bottom w:w="0" w:type="dxa"/>
            <w:right w:w="0" w:type="dxa"/>
          </w:tblCellMar>
        </w:tblPrEx>
        <w:trPr>
          <w:trHeight w:val="504"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A9A9E5A">
            <w:pPr>
              <w:widowControl/>
              <w:jc w:val="center"/>
              <w:textAlignment w:val="center"/>
              <w:rPr>
                <w:rFonts w:ascii="宋体" w:hAnsi="宋体" w:cs="宋体"/>
                <w:b/>
                <w:color w:val="000000"/>
                <w:kern w:val="0"/>
                <w:szCs w:val="21"/>
              </w:rPr>
            </w:pPr>
            <w:r>
              <w:rPr>
                <w:rFonts w:hint="eastAsia" w:ascii="宋体" w:hAnsi="宋体" w:cs="宋体"/>
                <w:b/>
                <w:color w:val="000000"/>
                <w:kern w:val="0"/>
                <w:szCs w:val="21"/>
              </w:rPr>
              <w:t>2</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0FBD384">
            <w:pPr>
              <w:widowControl/>
              <w:jc w:val="center"/>
              <w:textAlignment w:val="center"/>
              <w:rPr>
                <w:rFonts w:ascii="宋体" w:hAnsi="宋体" w:cs="宋体"/>
                <w:b/>
                <w:color w:val="000000"/>
                <w:szCs w:val="21"/>
              </w:rPr>
            </w:pPr>
            <w:r>
              <w:rPr>
                <w:rFonts w:hint="eastAsia" w:ascii="宋体" w:hAnsi="宋体" w:eastAsia="宋体" w:cs="宋体"/>
                <w:b/>
                <w:bCs/>
                <w:kern w:val="0"/>
                <w:sz w:val="24"/>
                <w:szCs w:val="24"/>
              </w:rPr>
              <w:t>疾控商密安全网关</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AC2DB45">
            <w:pPr>
              <w:widowControl/>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1、1U机架式设备；</w:t>
            </w:r>
          </w:p>
          <w:p w14:paraId="51917BD3">
            <w:pPr>
              <w:widowControl/>
              <w:numPr>
                <w:ilvl w:val="0"/>
                <w:numId w:val="1"/>
              </w:numPr>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配置固态硬盘≧128G SSD；</w:t>
            </w:r>
          </w:p>
          <w:p w14:paraId="33C45E21">
            <w:pPr>
              <w:widowControl/>
              <w:numPr>
                <w:ilvl w:val="0"/>
                <w:numId w:val="1"/>
              </w:numPr>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≧8个千兆电口、≧2个千兆光口；</w:t>
            </w:r>
          </w:p>
          <w:p w14:paraId="3BC75091">
            <w:pPr>
              <w:widowControl/>
              <w:numPr>
                <w:ilvl w:val="0"/>
                <w:numId w:val="1"/>
              </w:numPr>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网络层吞吐量≧4G，并发连接数≧150万，支持国密IPSec VPN吞吐量≧300M；</w:t>
            </w:r>
          </w:p>
          <w:p w14:paraId="330A366C">
            <w:pPr>
              <w:widowControl/>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5、具备并开通防病毒、防火墙、入侵防御IPS、URL 过滤、国密VPN等安全相关功能及规则库更新授权；</w:t>
            </w:r>
          </w:p>
          <w:p w14:paraId="398EA1DF">
            <w:pPr>
              <w:widowControl/>
              <w:spacing w:line="360" w:lineRule="auto"/>
              <w:jc w:val="left"/>
              <w:textAlignment w:val="center"/>
              <w:rPr>
                <w:rFonts w:hint="eastAsia" w:ascii="宋体" w:hAnsi="宋体" w:eastAsia="宋体" w:cs="宋体"/>
                <w:b/>
                <w:bCs/>
                <w:kern w:val="0"/>
                <w:sz w:val="24"/>
                <w:szCs w:val="24"/>
              </w:rPr>
            </w:pPr>
            <w:r>
              <w:rPr>
                <w:rFonts w:hint="eastAsia" w:ascii="宋体" w:hAnsi="宋体" w:eastAsia="宋体" w:cs="宋体"/>
                <w:sz w:val="24"/>
                <w:szCs w:val="22"/>
              </w:rPr>
              <w:t>★</w:t>
            </w:r>
            <w:r>
              <w:rPr>
                <w:rFonts w:hint="eastAsia" w:ascii="宋体" w:hAnsi="宋体" w:eastAsia="宋体" w:cs="宋体"/>
                <w:color w:val="000000"/>
                <w:kern w:val="0"/>
                <w:sz w:val="24"/>
                <w:szCs w:val="24"/>
              </w:rPr>
              <w:t>6、无缝兼容接入安徽省疾控现有商密VPN专网和政务外网，并接受省疾控管理平台统一纳管和运维。</w:t>
            </w:r>
            <w:r>
              <w:rPr>
                <w:rFonts w:hint="eastAsia" w:ascii="宋体" w:hAnsi="宋体" w:eastAsia="宋体" w:cs="宋体"/>
                <w:b/>
                <w:bCs/>
                <w:color w:val="000000"/>
                <w:kern w:val="0"/>
                <w:sz w:val="24"/>
                <w:szCs w:val="24"/>
              </w:rPr>
              <w:t>（提供原厂承诺函）</w:t>
            </w:r>
          </w:p>
          <w:p w14:paraId="79090592">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sz w:val="24"/>
                <w:szCs w:val="22"/>
              </w:rPr>
              <w:t>★</w:t>
            </w:r>
            <w:r>
              <w:rPr>
                <w:rFonts w:hint="eastAsia" w:ascii="宋体" w:hAnsi="宋体" w:eastAsia="宋体" w:cs="宋体"/>
                <w:kern w:val="0"/>
                <w:sz w:val="24"/>
                <w:szCs w:val="24"/>
              </w:rPr>
              <w:t>7、产品支持独立的账号安全防护模块，具备事前账号脆弱性、事中账号爆破、事后账号失陷的全生命周期安全防护，在设备界面可以详细展示账号安全相关信息，包括风险业务、风险等级、存在账号入口、存在弱口令、遭受口令爆破、异常登录账号登。</w:t>
            </w:r>
            <w:r>
              <w:rPr>
                <w:rFonts w:hint="eastAsia" w:ascii="宋体" w:hAnsi="宋体" w:eastAsia="宋体" w:cs="宋体"/>
                <w:b/>
                <w:bCs/>
                <w:kern w:val="0"/>
                <w:sz w:val="24"/>
                <w:szCs w:val="24"/>
              </w:rPr>
              <w:t>（需提供产品功能截图和“账号安全”相关软件著作权）</w:t>
            </w:r>
          </w:p>
          <w:p w14:paraId="22812404">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sz w:val="24"/>
                <w:szCs w:val="22"/>
              </w:rPr>
              <w:t>★</w:t>
            </w:r>
            <w:r>
              <w:rPr>
                <w:rFonts w:hint="eastAsia" w:ascii="宋体" w:hAnsi="宋体" w:eastAsia="宋体" w:cs="宋体"/>
                <w:kern w:val="0"/>
                <w:sz w:val="24"/>
                <w:szCs w:val="24"/>
              </w:rPr>
              <w:t>8、支持勒索病毒检测与防御功能，需提供产品功能截图证明。</w:t>
            </w:r>
            <w:r>
              <w:rPr>
                <w:rFonts w:hint="eastAsia" w:ascii="宋体" w:hAnsi="宋体" w:eastAsia="宋体" w:cs="宋体"/>
                <w:b/>
                <w:bCs/>
                <w:kern w:val="0"/>
                <w:sz w:val="24"/>
                <w:szCs w:val="24"/>
              </w:rPr>
              <w:t>（需提供产品功能截图证明并提供检测机构出具关于“勒索病毒”的证书）</w:t>
            </w:r>
          </w:p>
          <w:p w14:paraId="794E12CE">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kern w:val="0"/>
                <w:sz w:val="24"/>
                <w:szCs w:val="24"/>
              </w:rPr>
              <w:t>9、完成国家传染病监测预警平台与后续实施的安徽省食源性疾病上报平台等系统与疾控专网的网络对接，确保数据能够实时顺利上传，平滑替代现有VPN客户端的形式，提高网络传输稳定性和安全性；</w:t>
            </w:r>
          </w:p>
          <w:p w14:paraId="7627DD39">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color w:val="000000"/>
                <w:kern w:val="0"/>
                <w:sz w:val="24"/>
                <w:szCs w:val="24"/>
              </w:rPr>
              <w:t>10、为确保服务质量，服务器与网关为同一品牌；</w:t>
            </w:r>
          </w:p>
          <w:p w14:paraId="1A084BF6">
            <w:pPr>
              <w:widowControl/>
              <w:spacing w:line="360" w:lineRule="auto"/>
              <w:jc w:val="left"/>
              <w:textAlignment w:val="center"/>
              <w:rPr>
                <w:rFonts w:hint="eastAsia" w:ascii="宋体" w:hAnsi="宋体" w:eastAsia="宋体" w:cs="宋体"/>
                <w:b/>
                <w:bCs/>
                <w:kern w:val="0"/>
                <w:sz w:val="24"/>
                <w:szCs w:val="24"/>
              </w:rPr>
            </w:pPr>
            <w:r>
              <w:rPr>
                <w:rFonts w:hint="eastAsia" w:ascii="宋体" w:hAnsi="宋体" w:eastAsia="宋体" w:cs="宋体"/>
                <w:sz w:val="24"/>
                <w:szCs w:val="22"/>
              </w:rPr>
              <w:t>★</w:t>
            </w:r>
            <w:r>
              <w:rPr>
                <w:rFonts w:hint="eastAsia" w:ascii="宋体" w:hAnsi="宋体" w:eastAsia="宋体" w:cs="宋体"/>
                <w:kern w:val="0"/>
                <w:sz w:val="24"/>
                <w:szCs w:val="24"/>
              </w:rPr>
              <w:t>11、产品支持僵尸主机检测功能，产品内置僵尸网络特征库超过128万种，可识别主机的异常外联行为。</w:t>
            </w:r>
            <w:r>
              <w:rPr>
                <w:rFonts w:hint="eastAsia" w:ascii="宋体" w:hAnsi="宋体" w:eastAsia="宋体" w:cs="宋体"/>
                <w:b/>
                <w:bCs/>
                <w:kern w:val="0"/>
                <w:sz w:val="24"/>
                <w:szCs w:val="24"/>
              </w:rPr>
              <w:t>（需提供产品功能截图证明）</w:t>
            </w:r>
          </w:p>
          <w:p w14:paraId="65B42680">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12、整机提供三年原厂质保、</w:t>
            </w:r>
            <w:r>
              <w:rPr>
                <w:rFonts w:hint="eastAsia" w:ascii="宋体" w:hAnsi="宋体" w:eastAsia="宋体" w:cs="宋体"/>
                <w:color w:val="000000"/>
                <w:kern w:val="0"/>
                <w:sz w:val="24"/>
                <w:szCs w:val="24"/>
              </w:rPr>
              <w:t>规则库升级、</w:t>
            </w:r>
            <w:r>
              <w:rPr>
                <w:rFonts w:hint="eastAsia" w:ascii="宋体" w:hAnsi="宋体" w:eastAsia="宋体" w:cs="宋体"/>
                <w:sz w:val="24"/>
                <w:szCs w:val="22"/>
              </w:rPr>
              <w:t>及原厂上门服务，投标人需在投标文件中提供针对本项目中所采购产品的三年原厂售后服务的承诺函，并加盖投标人公章（格式自拟）。</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0AD2D77">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2204B76">
            <w:pPr>
              <w:jc w:val="center"/>
              <w:rPr>
                <w:rFonts w:ascii="宋体" w:hAnsi="宋体" w:cs="宋体"/>
                <w:color w:val="000000"/>
                <w:sz w:val="24"/>
                <w:szCs w:val="24"/>
              </w:rPr>
            </w:pPr>
            <w:r>
              <w:rPr>
                <w:rFonts w:hint="eastAsia" w:ascii="宋体" w:hAnsi="宋体" w:cs="宋体"/>
                <w:color w:val="000000"/>
                <w:sz w:val="24"/>
                <w:szCs w:val="24"/>
              </w:rPr>
              <w:t>台</w:t>
            </w:r>
          </w:p>
        </w:tc>
      </w:tr>
      <w:tr w14:paraId="23C1F048">
        <w:tblPrEx>
          <w:tblCellMar>
            <w:top w:w="0" w:type="dxa"/>
            <w:left w:w="0" w:type="dxa"/>
            <w:bottom w:w="0" w:type="dxa"/>
            <w:right w:w="0" w:type="dxa"/>
          </w:tblCellMar>
        </w:tblPrEx>
        <w:trPr>
          <w:trHeight w:val="450"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9836323">
            <w:pPr>
              <w:widowControl/>
              <w:jc w:val="center"/>
              <w:textAlignment w:val="center"/>
              <w:rPr>
                <w:rFonts w:ascii="宋体" w:hAnsi="宋体" w:cs="宋体"/>
                <w:b/>
                <w:color w:val="000000"/>
                <w:kern w:val="0"/>
                <w:szCs w:val="21"/>
              </w:rPr>
            </w:pPr>
            <w:r>
              <w:rPr>
                <w:rFonts w:hint="eastAsia" w:ascii="宋体" w:hAnsi="宋体" w:cs="宋体"/>
                <w:b/>
                <w:color w:val="000000"/>
                <w:kern w:val="0"/>
                <w:szCs w:val="21"/>
              </w:rPr>
              <w:t>3</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6BB4DBF">
            <w:pPr>
              <w:widowControl/>
              <w:jc w:val="center"/>
              <w:textAlignment w:val="center"/>
              <w:rPr>
                <w:rFonts w:ascii="宋体" w:hAnsi="宋体" w:cs="宋体"/>
                <w:b/>
                <w:color w:val="000000"/>
                <w:szCs w:val="21"/>
              </w:rPr>
            </w:pPr>
            <w:r>
              <w:rPr>
                <w:rFonts w:hint="eastAsia" w:ascii="宋体" w:hAnsi="宋体" w:eastAsia="宋体" w:cs="宋体"/>
                <w:b/>
                <w:bCs/>
                <w:kern w:val="2"/>
                <w:sz w:val="24"/>
                <w:szCs w:val="24"/>
                <w:lang w:val="en-US" w:eastAsia="zh-CN" w:bidi="ar-SA"/>
              </w:rPr>
              <w:t>集成、前置软件部署及调试服务</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DF53EC7">
            <w:pPr>
              <w:pStyle w:val="2"/>
              <w:spacing w:line="360" w:lineRule="auto"/>
              <w:rPr>
                <w:rFonts w:hint="eastAsia" w:ascii="宋体" w:hAnsi="宋体" w:eastAsia="宋体" w:cs="宋体"/>
                <w:sz w:val="24"/>
                <w:szCs w:val="24"/>
              </w:rPr>
            </w:pPr>
            <w:r>
              <w:rPr>
                <w:rFonts w:hint="eastAsia" w:ascii="宋体" w:hAnsi="宋体" w:eastAsia="宋体" w:cs="宋体"/>
                <w:sz w:val="24"/>
                <w:szCs w:val="24"/>
              </w:rPr>
              <w:t>1.为保障联调服务可顺利开展并落地，前置软件联调服务方需为国家监测预警平台或安徽省省监测预警平台建设方。（提供安徽省监测预警平台或国家监测预警平台软件方3年原厂服务承诺函）；无缝接入疾控专网，确保医疗机构与省级平台和国家平台都连通。</w:t>
            </w:r>
          </w:p>
          <w:p w14:paraId="2288ECCB">
            <w:pPr>
              <w:pStyle w:val="2"/>
              <w:spacing w:line="360" w:lineRule="auto"/>
              <w:rPr>
                <w:rFonts w:hint="eastAsia" w:ascii="宋体" w:hAnsi="宋体" w:eastAsia="宋体" w:cs="宋体"/>
                <w:sz w:val="24"/>
                <w:szCs w:val="24"/>
              </w:rPr>
            </w:pPr>
            <w:r>
              <w:rPr>
                <w:rFonts w:hint="eastAsia" w:ascii="宋体" w:hAnsi="宋体" w:eastAsia="宋体" w:cs="宋体"/>
                <w:sz w:val="24"/>
                <w:szCs w:val="24"/>
              </w:rPr>
              <w:t>2.集成及前置软件联调服务内容包含：</w:t>
            </w:r>
          </w:p>
          <w:p w14:paraId="42F3C34A">
            <w:pPr>
              <w:pStyle w:val="2"/>
              <w:spacing w:line="360" w:lineRule="auto"/>
              <w:rPr>
                <w:rFonts w:hint="eastAsia" w:ascii="宋体" w:hAnsi="宋体" w:eastAsia="宋体" w:cs="宋体"/>
                <w:sz w:val="24"/>
                <w:szCs w:val="24"/>
              </w:rPr>
            </w:pPr>
            <w:r>
              <w:rPr>
                <w:rFonts w:hint="eastAsia" w:ascii="宋体" w:hAnsi="宋体" w:eastAsia="宋体" w:cs="宋体"/>
                <w:sz w:val="24"/>
                <w:szCs w:val="24"/>
              </w:rPr>
              <w:t>1）前置软件的部署和国家平台对接；</w:t>
            </w:r>
          </w:p>
          <w:p w14:paraId="6B6A7100">
            <w:pPr>
              <w:pStyle w:val="2"/>
              <w:spacing w:line="360" w:lineRule="auto"/>
              <w:rPr>
                <w:rFonts w:hint="eastAsia" w:ascii="宋体" w:hAnsi="宋体" w:eastAsia="宋体" w:cs="宋体"/>
                <w:sz w:val="24"/>
                <w:szCs w:val="24"/>
              </w:rPr>
            </w:pPr>
            <w:r>
              <w:rPr>
                <w:rFonts w:hint="eastAsia" w:ascii="宋体" w:hAnsi="宋体" w:eastAsia="宋体" w:cs="宋体"/>
                <w:sz w:val="24"/>
                <w:szCs w:val="24"/>
              </w:rPr>
              <w:t>2）指导HIS厂商进行接口改造并线上线下复核审查相关数据，保证数据的准确率；</w:t>
            </w:r>
          </w:p>
          <w:p w14:paraId="7138B1D9">
            <w:pPr>
              <w:pStyle w:val="2"/>
              <w:spacing w:line="360" w:lineRule="auto"/>
              <w:rPr>
                <w:rFonts w:hint="eastAsia" w:ascii="宋体" w:hAnsi="宋体" w:eastAsia="宋体" w:cs="宋体"/>
                <w:sz w:val="24"/>
                <w:szCs w:val="24"/>
              </w:rPr>
            </w:pPr>
            <w:r>
              <w:rPr>
                <w:rFonts w:hint="eastAsia" w:ascii="宋体" w:hAnsi="宋体" w:eastAsia="宋体" w:cs="宋体"/>
                <w:sz w:val="24"/>
                <w:szCs w:val="24"/>
              </w:rPr>
              <w:t>3）配合医院和HIS厂商完成前置软件每月数据量达到相应标准转入国家平台正式环境，同步数据顺利上传至安徽省平台。</w:t>
            </w:r>
          </w:p>
          <w:p w14:paraId="2D5A22BB">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4"/>
              </w:rPr>
              <w:t>4）</w:t>
            </w:r>
            <w:r>
              <w:rPr>
                <w:rFonts w:hint="eastAsia" w:ascii="宋体" w:hAnsi="宋体" w:eastAsia="宋体" w:cs="宋体"/>
                <w:sz w:val="24"/>
                <w:szCs w:val="22"/>
              </w:rPr>
              <w:t>配置好安全防护策略；</w:t>
            </w:r>
          </w:p>
          <w:p w14:paraId="19ACF2E1">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5）后续疾控相关其他业务的部署及网络对接；</w:t>
            </w:r>
          </w:p>
          <w:p w14:paraId="32DC76F1">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6）配合医院完成数据库专项备份工作；</w:t>
            </w:r>
          </w:p>
          <w:p w14:paraId="30050C25">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7）配合医院完成前置机与CA认证或密码设备的对接；</w:t>
            </w:r>
          </w:p>
          <w:p w14:paraId="3E376B98">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8）配合医院完成对院内电子病历厂商的对接指导培训工作，配合完成医院端接口的改造工作；</w:t>
            </w:r>
          </w:p>
          <w:p w14:paraId="7262625A">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9）调研出具《医院传染病前置软件适配环境改造评估报告》，并配合医院完成相关问题的整改；</w:t>
            </w:r>
          </w:p>
          <w:p w14:paraId="44E2234E">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10）调研出具《医院传染病前置软件部署环境符合性报告》；</w:t>
            </w:r>
          </w:p>
          <w:p w14:paraId="535DE36E">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11）完成国家疾控局前置软件医院端远程联通调试工作；</w:t>
            </w:r>
          </w:p>
          <w:p w14:paraId="0DDAAEBD">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12）完成前置软件考核任务项目进度管理、配合上级单位完成医院端账号申请、测试、转正、培训工作；工作包括电子病历库初始化联调接入，质控核查，增量监控，预警模型训练初始化；传报卡、症候群、病原检测信息、可疑传染病电子病历与省统筹传染病自动采集系统联调对接等工作。</w:t>
            </w:r>
          </w:p>
          <w:p w14:paraId="020B107B">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13）配合国家考核任务或上级平台对应数据集的调试、对接、测试、正式运行及培训工作；</w:t>
            </w:r>
          </w:p>
          <w:p w14:paraId="037E02AB">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14）在国家、省、市规定的考核期内对前置软件运行状态进行持续监控、版本升级、备份管理；</w:t>
            </w:r>
          </w:p>
          <w:p w14:paraId="62340AB7">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在国家、省、市规定的考核期内对前置软件运行环境初始化工作提供一次远程复核服务，前置机软件运行问题不限次数的运维保障。</w:t>
            </w:r>
          </w:p>
          <w:p w14:paraId="285B1D16">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15）与现有大疫情网、省、市专网做接口</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3CBC837">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C12124F">
            <w:pPr>
              <w:jc w:val="center"/>
              <w:rPr>
                <w:rFonts w:ascii="宋体" w:hAnsi="宋体" w:cs="宋体"/>
                <w:color w:val="000000"/>
                <w:sz w:val="24"/>
                <w:szCs w:val="24"/>
              </w:rPr>
            </w:pPr>
            <w:r>
              <w:rPr>
                <w:rFonts w:hint="eastAsia" w:ascii="宋体" w:hAnsi="宋体" w:cs="宋体"/>
                <w:color w:val="000000"/>
                <w:sz w:val="24"/>
                <w:szCs w:val="24"/>
              </w:rPr>
              <w:t>项</w:t>
            </w:r>
          </w:p>
        </w:tc>
      </w:tr>
      <w:tr w14:paraId="6F007181">
        <w:tblPrEx>
          <w:tblCellMar>
            <w:top w:w="0" w:type="dxa"/>
            <w:left w:w="0" w:type="dxa"/>
            <w:bottom w:w="0" w:type="dxa"/>
            <w:right w:w="0" w:type="dxa"/>
          </w:tblCellMar>
        </w:tblPrEx>
        <w:trPr>
          <w:trHeight w:val="450"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52B6564">
            <w:pPr>
              <w:widowControl/>
              <w:jc w:val="center"/>
              <w:textAlignment w:val="center"/>
              <w:rPr>
                <w:rFonts w:ascii="宋体" w:hAnsi="宋体" w:cs="宋体"/>
                <w:b/>
                <w:color w:val="000000"/>
                <w:kern w:val="0"/>
                <w:szCs w:val="21"/>
              </w:rPr>
            </w:pPr>
            <w:r>
              <w:rPr>
                <w:rFonts w:hint="eastAsia" w:ascii="宋体" w:hAnsi="宋体" w:cs="宋体"/>
                <w:color w:val="000000"/>
                <w:kern w:val="0"/>
                <w:szCs w:val="21"/>
              </w:rPr>
              <w:t>4</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52D38D5">
            <w:pPr>
              <w:widowControl/>
              <w:jc w:val="center"/>
              <w:textAlignment w:val="center"/>
              <w:rPr>
                <w:rFonts w:ascii="宋体" w:hAnsi="宋体" w:cs="宋体"/>
                <w:b/>
                <w:color w:val="000000"/>
                <w:kern w:val="0"/>
                <w:szCs w:val="21"/>
              </w:rPr>
            </w:pPr>
            <w:r>
              <w:rPr>
                <w:rFonts w:hint="eastAsia" w:ascii="宋体" w:hAnsi="宋体" w:eastAsia="宋体" w:cs="宋体"/>
                <w:b/>
                <w:bCs/>
                <w:sz w:val="24"/>
                <w:szCs w:val="22"/>
              </w:rPr>
              <w:t>院内软件开发服务</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B7172EB">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根据前置软件接口文档，完成院内his、lis、emr、ris、pacs等系统与前置软件的对接，能够被前置软件顺利抓取数据，确保数据质量。</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251B82A">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BABAD2B">
            <w:pPr>
              <w:jc w:val="center"/>
              <w:rPr>
                <w:rFonts w:ascii="宋体" w:hAnsi="宋体" w:cs="宋体"/>
                <w:color w:val="000000"/>
                <w:sz w:val="24"/>
                <w:szCs w:val="24"/>
              </w:rPr>
            </w:pPr>
            <w:r>
              <w:rPr>
                <w:rFonts w:hint="eastAsia" w:ascii="宋体" w:hAnsi="宋体" w:cs="宋体"/>
                <w:color w:val="000000"/>
                <w:sz w:val="24"/>
                <w:szCs w:val="24"/>
              </w:rPr>
              <w:t>项</w:t>
            </w:r>
          </w:p>
        </w:tc>
      </w:tr>
    </w:tbl>
    <w:p w14:paraId="15B8643B">
      <w:pPr>
        <w:keepNext/>
        <w:keepLines w:val="0"/>
        <w:pageBreakBefore w:val="0"/>
        <w:widowControl w:val="0"/>
        <w:suppressLineNumbers/>
        <w:suppressAutoHyphens/>
        <w:kinsoku/>
        <w:wordWrap w:val="0"/>
        <w:overflowPunct/>
        <w:topLinePunct w:val="0"/>
        <w:autoSpaceDE/>
        <w:autoSpaceDN/>
        <w:bidi w:val="0"/>
        <w:adjustRightInd w:val="0"/>
        <w:snapToGrid w:val="0"/>
        <w:spacing w:line="480" w:lineRule="exact"/>
        <w:textAlignment w:val="auto"/>
        <w:rPr>
          <w:rFonts w:hint="eastAsia" w:ascii="宋体" w:hAnsi="宋体" w:cs="宋体"/>
          <w:b/>
          <w:kern w:val="0"/>
          <w:sz w:val="28"/>
          <w:szCs w:val="28"/>
          <w:lang w:eastAsia="zh-CN"/>
        </w:rPr>
      </w:pPr>
      <w:r>
        <w:rPr>
          <w:rFonts w:hint="eastAsia" w:ascii="宋体" w:hAnsi="宋体" w:cs="宋体"/>
          <w:b/>
          <w:kern w:val="0"/>
          <w:sz w:val="28"/>
          <w:szCs w:val="28"/>
          <w:lang w:eastAsia="zh-CN"/>
        </w:rPr>
        <w:t>注：1、以上参数标“★”项为必须满足项，投标时标“★” 参数部分须提供相关证明材料予以佐证。</w:t>
      </w:r>
    </w:p>
    <w:p w14:paraId="62C75966">
      <w:pPr>
        <w:keepNext/>
        <w:keepLines w:val="0"/>
        <w:pageBreakBefore w:val="0"/>
        <w:widowControl w:val="0"/>
        <w:suppressLineNumbers/>
        <w:suppressAutoHyphens/>
        <w:kinsoku/>
        <w:wordWrap w:val="0"/>
        <w:overflowPunct/>
        <w:topLinePunct w:val="0"/>
        <w:autoSpaceDE/>
        <w:autoSpaceDN/>
        <w:bidi w:val="0"/>
        <w:adjustRightInd w:val="0"/>
        <w:snapToGrid w:val="0"/>
        <w:spacing w:line="480" w:lineRule="exact"/>
        <w:ind w:firstLine="562" w:firstLineChars="200"/>
        <w:textAlignment w:val="auto"/>
        <w:rPr>
          <w:rFonts w:hint="eastAsia" w:ascii="宋体" w:hAnsi="宋体" w:cs="宋体"/>
          <w:kern w:val="2"/>
          <w:sz w:val="28"/>
          <w:szCs w:val="28"/>
          <w:lang w:val="en-US" w:eastAsia="zh-CN" w:bidi="ar-SA"/>
        </w:rPr>
      </w:pPr>
      <w:r>
        <w:rPr>
          <w:rFonts w:hint="eastAsia" w:ascii="宋体" w:hAnsi="宋体" w:cs="宋体"/>
          <w:b/>
          <w:kern w:val="0"/>
          <w:sz w:val="28"/>
          <w:szCs w:val="28"/>
          <w:lang w:val="en-US" w:eastAsia="zh-CN"/>
        </w:rPr>
        <w:t>2、本项目采购的相关系统管理软件需符合财政部、工业和信息化部颁发的《操作系统政府采购需求标准（2023 年版）》、《一体式计算机政府采购需求标准（2023 年版）》、《通用服务器政府采购需求标准（2023 版）》等文件要求，如履约验收期间所投产品不满足相关文件要求，采购人有权追究中标人的违约责任，中标人承担由此产生的一切后果及责任（承诺函格式自理）。</w:t>
      </w:r>
    </w:p>
    <w:p w14:paraId="406CB13E">
      <w:pPr>
        <w:keepNext w:val="0"/>
        <w:keepLines w:val="0"/>
        <w:pageBreakBefore w:val="0"/>
        <w:widowControl w:val="0"/>
        <w:kinsoku/>
        <w:wordWrap/>
        <w:overflowPunct/>
        <w:topLinePunct w:val="0"/>
        <w:autoSpaceDE/>
        <w:autoSpaceDN/>
        <w:bidi w:val="0"/>
        <w:adjustRightInd/>
        <w:snapToGrid/>
        <w:spacing w:line="480" w:lineRule="exact"/>
        <w:textAlignment w:val="auto"/>
        <w:rPr>
          <w:rFonts w:ascii="宋体" w:hAnsi="宋体" w:cs="宋体"/>
          <w:b/>
          <w:bCs/>
          <w:sz w:val="28"/>
          <w:szCs w:val="28"/>
        </w:rPr>
      </w:pPr>
      <w:r>
        <w:rPr>
          <w:rFonts w:hint="eastAsia" w:ascii="宋体" w:hAnsi="宋体" w:cs="宋体"/>
          <w:b/>
          <w:bCs/>
          <w:sz w:val="28"/>
          <w:szCs w:val="28"/>
          <w:lang w:eastAsia="zh-CN"/>
        </w:rPr>
        <w:t>（三）</w:t>
      </w:r>
      <w:r>
        <w:rPr>
          <w:rFonts w:hint="eastAsia" w:ascii="宋体" w:hAnsi="宋体" w:cs="宋体"/>
          <w:b/>
          <w:bCs/>
          <w:sz w:val="28"/>
          <w:szCs w:val="28"/>
        </w:rPr>
        <w:t>其它需求：</w:t>
      </w:r>
    </w:p>
    <w:p w14:paraId="5A245FA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ascii="宋体" w:hAnsi="宋体" w:cs="宋体"/>
          <w:color w:val="000000"/>
          <w:sz w:val="28"/>
          <w:szCs w:val="28"/>
        </w:rPr>
      </w:pPr>
      <w:r>
        <w:rPr>
          <w:rFonts w:hint="eastAsia" w:ascii="宋体" w:hAnsi="宋体" w:cs="宋体"/>
          <w:color w:val="000000"/>
          <w:sz w:val="28"/>
          <w:szCs w:val="28"/>
        </w:rPr>
        <w:t>（1）本项目包括前置服务器现场上架及安装调试及操作系统、数据库、前置软件的安装、部署、联调；与医院数据和信息化系统的对接；与国家、省传染病监测预警平台、省食源性疾病监测直报对接互通；前置服务器安全运行防护与管理等全过程服务，直至满足业务系统使用为止，最终实现“交钥匙”的工作目标。</w:t>
      </w:r>
    </w:p>
    <w:p w14:paraId="09662C6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（2）支持多院区模式，在与国家、省传染病监测预警平台、省食源性疾病监测直报对接互通时，必须可智能识别患者所在院区并进行归集。</w:t>
      </w:r>
    </w:p>
    <w:p w14:paraId="02C4E77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zh-CN"/>
        </w:rPr>
        <w:t>（四）售后服务要求</w:t>
      </w:r>
    </w:p>
    <w:p w14:paraId="5C4FDF3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lang w:val="zh-CN"/>
        </w:rPr>
        <w:t>服务响应要求：</w:t>
      </w:r>
      <w:r>
        <w:rPr>
          <w:rFonts w:hint="eastAsia" w:ascii="宋体" w:hAnsi="宋体" w:eastAsia="宋体" w:cs="宋体"/>
          <w:color w:val="000000"/>
          <w:sz w:val="28"/>
          <w:szCs w:val="28"/>
        </w:rPr>
        <w:t>数据库、操作系统、前置软件、院内软件开发服务提供三年</w:t>
      </w:r>
      <w:r>
        <w:rPr>
          <w:rFonts w:hint="eastAsia" w:ascii="宋体" w:hAnsi="宋体" w:eastAsia="宋体" w:cs="宋体"/>
          <w:color w:val="000000"/>
          <w:sz w:val="28"/>
          <w:szCs w:val="28"/>
          <w:lang w:val="zh-CN"/>
        </w:rPr>
        <w:t>7*24小时在线电话服务</w:t>
      </w:r>
      <w:r>
        <w:rPr>
          <w:rFonts w:hint="eastAsia" w:ascii="宋体" w:hAnsi="宋体" w:eastAsia="宋体" w:cs="宋体"/>
          <w:color w:val="000000"/>
          <w:sz w:val="28"/>
          <w:szCs w:val="28"/>
        </w:rPr>
        <w:t>及免费升级运维服务</w:t>
      </w:r>
      <w:r>
        <w:rPr>
          <w:rFonts w:hint="eastAsia" w:ascii="宋体" w:hAnsi="宋体" w:eastAsia="宋体" w:cs="宋体"/>
          <w:color w:val="000000"/>
          <w:sz w:val="28"/>
          <w:szCs w:val="28"/>
          <w:lang w:val="zh-CN"/>
        </w:rPr>
        <w:t>。</w:t>
      </w:r>
      <w:r>
        <w:rPr>
          <w:rFonts w:hint="eastAsia" w:ascii="宋体" w:hAnsi="宋体" w:eastAsia="宋体" w:cs="宋体"/>
          <w:color w:val="000000"/>
          <w:sz w:val="28"/>
          <w:szCs w:val="28"/>
        </w:rPr>
        <w:t>投标人应具备良好的售后服务能力，</w:t>
      </w:r>
      <w:r>
        <w:rPr>
          <w:rFonts w:hint="eastAsia" w:ascii="宋体" w:hAnsi="宋体" w:eastAsia="宋体" w:cs="宋体"/>
          <w:color w:val="000000"/>
          <w:sz w:val="28"/>
          <w:szCs w:val="28"/>
          <w:highlight w:val="none"/>
        </w:rPr>
        <w:t>在接到采购人通知后1小时内做出明确响应和安排，2小时内做出故障诊断报告并解决故障，如采购人需现场服务的，中标人在接到采购人通知并派具有解决故障能力的工程师1个小时内到现场上门服务，排除故障，并分析故障原因，提出书面故障分析报告及防范措施。本项需要提供承诺函，格式自理。质保期内产生的一切费用由中标人承担。</w:t>
      </w:r>
    </w:p>
    <w:p w14:paraId="1F52D7DA">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硬件服务要求：</w:t>
      </w:r>
    </w:p>
    <w:p w14:paraId="0F85785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提供3年上门及质保服务；</w:t>
      </w:r>
    </w:p>
    <w:p w14:paraId="07C9E7E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省、国家平台软件更新后，须负责提供服务器快照服务；</w:t>
      </w:r>
    </w:p>
    <w:p w14:paraId="6AB353A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负责网络对接食源性、监测预警平台等后续疾控业务。</w:t>
      </w:r>
    </w:p>
    <w:p w14:paraId="0ABDCFE7">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zh-CN"/>
        </w:rPr>
        <w:t>、巡检服务要求：针对医院网络情况，定期进行远程巡检，遇到问题及时给客户沟通。</w:t>
      </w:r>
    </w:p>
    <w:p w14:paraId="2AF4BD7E">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val="zh-CN"/>
        </w:rPr>
        <w:t>、重保服务要求：承诺遇重大节日、重大活动和重大安全事时，免费为业主提供技术支撑。</w:t>
      </w:r>
    </w:p>
    <w:p w14:paraId="0B7EBA95">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val="zh-CN"/>
        </w:rPr>
        <w:t>、软件升级要求：服务期内提供软件的升级服务。</w:t>
      </w:r>
    </w:p>
    <w:p w14:paraId="654CF61F">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val="zh-CN"/>
        </w:rPr>
        <w:t>投标人必须对采购人此次采购设备负责安装、调试、基础的维护和相关人员的技术培训；</w:t>
      </w:r>
    </w:p>
    <w:p w14:paraId="12975BD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w:t>
      </w:r>
      <w:r>
        <w:rPr>
          <w:rFonts w:hint="eastAsia" w:ascii="宋体" w:hAnsi="宋体" w:eastAsia="宋体" w:cs="宋体"/>
          <w:b/>
          <w:bCs/>
          <w:color w:val="000000"/>
          <w:sz w:val="28"/>
          <w:szCs w:val="28"/>
          <w:lang w:val="en-US" w:eastAsia="zh-CN"/>
        </w:rPr>
        <w:t>五</w:t>
      </w:r>
      <w:r>
        <w:rPr>
          <w:rFonts w:hint="eastAsia" w:ascii="宋体" w:hAnsi="宋体" w:eastAsia="宋体" w:cs="宋体"/>
          <w:b/>
          <w:bCs/>
          <w:color w:val="000000"/>
          <w:sz w:val="28"/>
          <w:szCs w:val="28"/>
          <w:lang w:eastAsia="zh-CN"/>
        </w:rPr>
        <w:t>）</w:t>
      </w:r>
      <w:r>
        <w:rPr>
          <w:rFonts w:hint="eastAsia" w:ascii="宋体" w:hAnsi="宋体" w:eastAsia="宋体" w:cs="宋体"/>
          <w:b/>
          <w:bCs/>
          <w:color w:val="000000"/>
          <w:sz w:val="28"/>
          <w:szCs w:val="28"/>
        </w:rPr>
        <w:t>、验收及质保要求</w:t>
      </w:r>
    </w:p>
    <w:p w14:paraId="5DD3108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本次</w:t>
      </w:r>
      <w:r>
        <w:rPr>
          <w:rFonts w:hint="eastAsia" w:ascii="宋体" w:hAnsi="宋体" w:eastAsia="宋体" w:cs="宋体"/>
          <w:color w:val="000000"/>
          <w:sz w:val="28"/>
          <w:szCs w:val="28"/>
        </w:rPr>
        <w:t>枞阳县人民</w:t>
      </w:r>
      <w:r>
        <w:rPr>
          <w:rFonts w:hint="eastAsia" w:ascii="宋体" w:hAnsi="宋体" w:eastAsia="宋体" w:cs="宋体"/>
          <w:color w:val="000000"/>
          <w:sz w:val="28"/>
          <w:szCs w:val="28"/>
          <w:lang w:val="zh-CN"/>
        </w:rPr>
        <w:t>医院</w:t>
      </w:r>
      <w:r>
        <w:rPr>
          <w:rFonts w:hint="eastAsia" w:ascii="宋体" w:hAnsi="宋体" w:eastAsia="宋体" w:cs="宋体"/>
          <w:color w:val="000000"/>
          <w:sz w:val="28"/>
          <w:szCs w:val="28"/>
        </w:rPr>
        <w:t>国家传染病智能监测预警监测直报前置服务器软硬件部署与对接项目</w:t>
      </w:r>
      <w:r>
        <w:rPr>
          <w:rFonts w:hint="eastAsia" w:ascii="宋体" w:hAnsi="宋体" w:eastAsia="宋体" w:cs="宋体"/>
          <w:color w:val="000000"/>
          <w:sz w:val="28"/>
          <w:szCs w:val="28"/>
          <w:lang w:val="zh-CN"/>
        </w:rPr>
        <w:t>验收标准以实现与国家传染病智能监测预警平台正式环境对接为前提条件。</w:t>
      </w:r>
    </w:p>
    <w:p w14:paraId="0521D3F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zh-CN"/>
        </w:rPr>
        <w:t>质保期自验收合格之日起计算，投标人应提供原厂三年质保、</w:t>
      </w:r>
      <w:r>
        <w:rPr>
          <w:rFonts w:hint="eastAsia" w:ascii="宋体" w:hAnsi="宋体" w:eastAsia="宋体" w:cs="宋体"/>
          <w:color w:val="000000"/>
          <w:sz w:val="28"/>
          <w:szCs w:val="28"/>
        </w:rPr>
        <w:t>规则库升级、</w:t>
      </w:r>
      <w:r>
        <w:rPr>
          <w:rFonts w:hint="eastAsia" w:ascii="宋体" w:hAnsi="宋体" w:eastAsia="宋体" w:cs="宋体"/>
          <w:color w:val="000000"/>
          <w:sz w:val="28"/>
          <w:szCs w:val="28"/>
          <w:lang w:val="zh-CN"/>
        </w:rPr>
        <w:t>及</w:t>
      </w:r>
      <w:r>
        <w:rPr>
          <w:rFonts w:hint="eastAsia" w:ascii="宋体" w:hAnsi="宋体" w:eastAsia="宋体" w:cs="宋体"/>
          <w:color w:val="000000"/>
          <w:sz w:val="28"/>
          <w:szCs w:val="28"/>
        </w:rPr>
        <w:t>原厂</w:t>
      </w:r>
      <w:r>
        <w:rPr>
          <w:rFonts w:hint="eastAsia" w:ascii="宋体" w:hAnsi="宋体" w:eastAsia="宋体" w:cs="宋体"/>
          <w:color w:val="000000"/>
          <w:sz w:val="28"/>
          <w:szCs w:val="28"/>
          <w:lang w:val="zh-CN"/>
        </w:rPr>
        <w:t>上门服务。</w:t>
      </w:r>
    </w:p>
    <w:p w14:paraId="66E76A0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zh-CN"/>
        </w:rPr>
        <w:t>质保期内因设备性能故障检修多次仍不能正常使用的，投标人将无条件更换新设备。在超出质保期后，如产品发生故障，投标人需派技术员免费上门服务,如需更换配件，配件均按市场最优惠价格供应。</w:t>
      </w:r>
    </w:p>
    <w:p w14:paraId="07CD6ABF">
      <w:pPr>
        <w:pStyle w:val="2"/>
        <w:keepLines w:val="0"/>
        <w:pageBreakBefore w:val="0"/>
        <w:widowControl w:val="0"/>
        <w:kinsoku/>
        <w:overflowPunct/>
        <w:topLinePunct w:val="0"/>
        <w:autoSpaceDE/>
        <w:autoSpaceDN/>
        <w:bidi w:val="0"/>
        <w:spacing w:line="480" w:lineRule="exact"/>
        <w:textAlignment w:val="auto"/>
      </w:pPr>
    </w:p>
    <w:p w14:paraId="72ACD2E6">
      <w:pPr>
        <w:pStyle w:val="4"/>
        <w:keepLines w:val="0"/>
        <w:pageBreakBefore w:val="0"/>
        <w:widowControl w:val="0"/>
        <w:kinsoku/>
        <w:overflowPunct/>
        <w:topLinePunct w:val="0"/>
        <w:autoSpaceDE/>
        <w:autoSpaceDN/>
        <w:bidi w:val="0"/>
        <w:adjustRightInd w:val="0"/>
        <w:snapToGrid w:val="0"/>
        <w:spacing w:before="0" w:beforeAutospacing="0" w:after="0" w:afterAutospacing="0" w:line="480" w:lineRule="exact"/>
        <w:jc w:val="both"/>
        <w:textAlignment w:val="auto"/>
        <w:rPr>
          <w:rFonts w:hint="eastAsia" w:ascii="宋体" w:hAnsi="宋体" w:eastAsia="宋体" w:cs="宋体"/>
          <w:b/>
          <w:kern w:val="0"/>
          <w:sz w:val="28"/>
          <w:szCs w:val="28"/>
        </w:rPr>
      </w:pPr>
      <w:r>
        <w:rPr>
          <w:rFonts w:hint="eastAsia" w:ascii="宋体" w:hAnsi="宋体" w:cs="宋体"/>
          <w:b/>
          <w:bCs w:val="0"/>
          <w:kern w:val="0"/>
          <w:sz w:val="28"/>
          <w:szCs w:val="28"/>
          <w:lang w:val="en-US" w:eastAsia="zh-CN"/>
        </w:rPr>
        <w:t>二、</w:t>
      </w:r>
      <w:r>
        <w:rPr>
          <w:rFonts w:hint="eastAsia" w:ascii="宋体" w:hAnsi="宋体" w:eastAsia="宋体" w:cs="宋体"/>
          <w:b/>
          <w:kern w:val="0"/>
          <w:sz w:val="28"/>
          <w:szCs w:val="28"/>
        </w:rPr>
        <w:t>其他要求</w:t>
      </w:r>
      <w:r>
        <w:rPr>
          <w:rFonts w:hint="eastAsia" w:ascii="宋体" w:hAnsi="宋体" w:cs="宋体"/>
          <w:b/>
          <w:kern w:val="0"/>
          <w:sz w:val="28"/>
          <w:szCs w:val="28"/>
          <w:lang w:eastAsia="zh-CN"/>
        </w:rPr>
        <w:t>：</w:t>
      </w:r>
      <w:r>
        <w:rPr>
          <w:rFonts w:hint="eastAsia" w:ascii="宋体" w:hAnsi="宋体" w:eastAsia="宋体" w:cs="宋体"/>
          <w:b/>
          <w:kern w:val="0"/>
          <w:sz w:val="28"/>
          <w:szCs w:val="28"/>
        </w:rPr>
        <w:t xml:space="preserve">  </w:t>
      </w:r>
    </w:p>
    <w:p w14:paraId="67997576">
      <w:pPr>
        <w:pStyle w:val="4"/>
        <w:keepLines w:val="0"/>
        <w:pageBreakBefore w:val="0"/>
        <w:widowControl w:val="0"/>
        <w:kinsoku/>
        <w:overflowPunct/>
        <w:topLinePunct w:val="0"/>
        <w:autoSpaceDE/>
        <w:autoSpaceDN/>
        <w:bidi w:val="0"/>
        <w:adjustRightInd w:val="0"/>
        <w:snapToGrid w:val="0"/>
        <w:spacing w:before="0" w:beforeAutospacing="0" w:after="0" w:afterAutospacing="0" w:line="480" w:lineRule="exact"/>
        <w:ind w:firstLine="562" w:firstLineChars="200"/>
        <w:jc w:val="both"/>
        <w:textAlignment w:val="auto"/>
        <w:rPr>
          <w:rFonts w:hint="eastAsia" w:ascii="宋体" w:hAnsi="宋体" w:eastAsia="宋体" w:cs="宋体"/>
          <w:kern w:val="0"/>
          <w:sz w:val="28"/>
          <w:szCs w:val="28"/>
        </w:rPr>
      </w:pPr>
      <w:r>
        <w:rPr>
          <w:rFonts w:hint="eastAsia" w:cs="宋体"/>
          <w:b/>
          <w:kern w:val="0"/>
          <w:sz w:val="28"/>
          <w:szCs w:val="28"/>
          <w:lang w:val="en-US" w:eastAsia="zh-CN"/>
        </w:rPr>
        <w:t>1、</w:t>
      </w:r>
      <w:r>
        <w:rPr>
          <w:rFonts w:hint="eastAsia" w:ascii="宋体" w:hAnsi="宋体" w:eastAsia="宋体" w:cs="宋体"/>
          <w:kern w:val="0"/>
          <w:sz w:val="28"/>
          <w:szCs w:val="28"/>
        </w:rPr>
        <w:t>成交供应商应承担</w:t>
      </w:r>
      <w:r>
        <w:rPr>
          <w:rFonts w:hint="eastAsia" w:ascii="宋体" w:hAnsi="宋体" w:cs="宋体"/>
          <w:kern w:val="0"/>
          <w:sz w:val="28"/>
          <w:szCs w:val="28"/>
          <w:highlight w:val="none"/>
          <w:lang w:eastAsia="zh-CN"/>
        </w:rPr>
        <w:t>服务</w:t>
      </w:r>
      <w:r>
        <w:rPr>
          <w:rFonts w:hint="eastAsia" w:ascii="宋体" w:hAnsi="宋体" w:eastAsia="宋体" w:cs="宋体"/>
          <w:kern w:val="0"/>
          <w:sz w:val="28"/>
          <w:szCs w:val="28"/>
        </w:rPr>
        <w:t>过程中所发生安全事故的责任和风险。</w:t>
      </w:r>
    </w:p>
    <w:p w14:paraId="73402510">
      <w:pPr>
        <w:keepNext/>
        <w:keepLines w:val="0"/>
        <w:pageBreakBefore w:val="0"/>
        <w:widowControl w:val="0"/>
        <w:suppressLineNumbers/>
        <w:suppressAutoHyphens/>
        <w:kinsoku/>
        <w:wordWrap w:val="0"/>
        <w:overflowPunct/>
        <w:topLinePunct w:val="0"/>
        <w:autoSpaceDE/>
        <w:autoSpaceDN/>
        <w:bidi w:val="0"/>
        <w:adjustRightInd w:val="0"/>
        <w:snapToGrid w:val="0"/>
        <w:spacing w:line="480" w:lineRule="exact"/>
        <w:ind w:firstLine="560" w:firstLineChars="200"/>
        <w:textAlignment w:val="auto"/>
        <w:rPr>
          <w:rFonts w:hint="eastAsia" w:ascii="宋体" w:hAnsi="宋体" w:cs="宋体"/>
          <w:b/>
          <w:bCs w:val="0"/>
          <w:kern w:val="0"/>
          <w:sz w:val="28"/>
          <w:szCs w:val="28"/>
          <w:lang w:val="en-US" w:eastAsia="zh-CN"/>
        </w:rPr>
      </w:pPr>
      <w:r>
        <w:rPr>
          <w:rFonts w:hint="eastAsia" w:cs="宋体"/>
          <w:kern w:val="0"/>
          <w:sz w:val="28"/>
          <w:szCs w:val="28"/>
          <w:lang w:val="en-US" w:eastAsia="zh-CN"/>
        </w:rPr>
        <w:t>2、</w:t>
      </w:r>
      <w:r>
        <w:rPr>
          <w:rFonts w:hint="eastAsia" w:ascii="宋体" w:hAnsi="宋体" w:cs="宋体"/>
          <w:kern w:val="0"/>
          <w:sz w:val="28"/>
          <w:szCs w:val="28"/>
          <w:lang w:val="en-US" w:eastAsia="zh-CN"/>
        </w:rPr>
        <w:t>成交供应商</w:t>
      </w:r>
      <w:r>
        <w:rPr>
          <w:rFonts w:hint="eastAsia" w:ascii="宋体" w:hAnsi="宋体" w:eastAsia="宋体" w:cs="宋体"/>
          <w:kern w:val="0"/>
          <w:sz w:val="28"/>
          <w:szCs w:val="28"/>
        </w:rPr>
        <w:t>应保证符合现行国家相关标准和规范及</w:t>
      </w:r>
      <w:r>
        <w:rPr>
          <w:rFonts w:hint="eastAsia" w:cs="宋体"/>
          <w:kern w:val="0"/>
          <w:sz w:val="28"/>
          <w:szCs w:val="28"/>
          <w:lang w:val="en-US" w:eastAsia="zh-CN"/>
        </w:rPr>
        <w:t>磋商</w:t>
      </w:r>
      <w:r>
        <w:rPr>
          <w:rFonts w:hint="eastAsia" w:ascii="宋体" w:hAnsi="宋体" w:eastAsia="宋体" w:cs="宋体"/>
          <w:kern w:val="0"/>
          <w:sz w:val="28"/>
          <w:szCs w:val="28"/>
        </w:rPr>
        <w:t>文件要求，如因中标方原因，导致不能达到本项目的验收要求，采购人有权终止本项目，同时承担相应的违约责任。</w:t>
      </w:r>
    </w:p>
    <w:p w14:paraId="6D7852A2">
      <w:pPr>
        <w:keepNext/>
        <w:keepLines w:val="0"/>
        <w:pageBreakBefore w:val="0"/>
        <w:widowControl w:val="0"/>
        <w:suppressLineNumbers/>
        <w:suppressAutoHyphens/>
        <w:kinsoku/>
        <w:wordWrap w:val="0"/>
        <w:overflowPunct/>
        <w:topLinePunct w:val="0"/>
        <w:autoSpaceDE/>
        <w:autoSpaceDN/>
        <w:bidi w:val="0"/>
        <w:adjustRightInd w:val="0"/>
        <w:snapToGrid w:val="0"/>
        <w:spacing w:line="480" w:lineRule="exact"/>
        <w:ind w:firstLine="281" w:firstLineChars="100"/>
        <w:textAlignment w:val="auto"/>
        <w:rPr>
          <w:rFonts w:hint="default" w:ascii="宋体" w:hAnsi="宋体" w:cs="宋体"/>
          <w:b w:val="0"/>
          <w:bCs/>
          <w:kern w:val="0"/>
          <w:sz w:val="28"/>
          <w:szCs w:val="28"/>
          <w:lang w:val="en-US" w:eastAsia="zh-CN"/>
        </w:rPr>
      </w:pPr>
      <w:r>
        <w:rPr>
          <w:rFonts w:hint="eastAsia" w:ascii="宋体" w:hAnsi="宋体" w:cs="宋体"/>
          <w:b/>
          <w:bCs w:val="0"/>
          <w:kern w:val="0"/>
          <w:sz w:val="28"/>
          <w:szCs w:val="28"/>
          <w:lang w:val="en-US" w:eastAsia="zh-CN"/>
        </w:rPr>
        <w:t>三、服务期限：90日历天。</w:t>
      </w:r>
    </w:p>
    <w:p w14:paraId="5BDC90A6">
      <w:pPr>
        <w:keepLines w:val="0"/>
        <w:pageBreakBefore w:val="0"/>
        <w:widowControl w:val="0"/>
        <w:kinsoku/>
        <w:overflowPunct/>
        <w:topLinePunct w:val="0"/>
        <w:autoSpaceDE/>
        <w:autoSpaceDN/>
        <w:bidi w:val="0"/>
        <w:spacing w:line="480" w:lineRule="exact"/>
        <w:jc w:val="left"/>
        <w:textAlignment w:val="auto"/>
        <w:rPr>
          <w:rFonts w:hint="eastAsia"/>
          <w:lang w:val="en-US" w:eastAsia="zh-CN"/>
        </w:rPr>
      </w:pPr>
    </w:p>
    <w:sectPr>
      <w:pgSz w:w="11906" w:h="16838"/>
      <w:pgMar w:top="1440" w:right="1689"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7A20A7"/>
    <w:multiLevelType w:val="singleLevel"/>
    <w:tmpl w:val="167A20A7"/>
    <w:lvl w:ilvl="0" w:tentative="0">
      <w:start w:val="2"/>
      <w:numFmt w:val="decimal"/>
      <w:suff w:val="nothing"/>
      <w:lvlText w:val="%1、"/>
      <w:lvlJc w:val="left"/>
      <w:rPr>
        <w:rFonts w:hint="default"/>
        <w:b w:val="0"/>
        <w:bCs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AE0A32"/>
    <w:rsid w:val="793E7B4B"/>
    <w:rsid w:val="7C8757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style>
  <w:style w:type="paragraph" w:styleId="3">
    <w:name w:val="Body Text Indent"/>
    <w:basedOn w:val="1"/>
    <w:qFormat/>
    <w:uiPriority w:val="0"/>
    <w:pPr>
      <w:ind w:firstLine="630"/>
    </w:pPr>
    <w:rPr>
      <w:sz w:val="32"/>
    </w:rPr>
  </w:style>
  <w:style w:type="paragraph" w:styleId="4">
    <w:name w:val="Normal (Web)"/>
    <w:basedOn w:val="1"/>
    <w:qFormat/>
    <w:uiPriority w:val="0"/>
    <w:pPr>
      <w:spacing w:before="100" w:beforeAutospacing="1"/>
    </w:pPr>
    <w:rPr>
      <w:rFonts w:ascii="宋体" w:hAnsi="宋体" w:cs="宋体"/>
      <w:sz w:val="24"/>
      <w:lang w:bidi="he-IL"/>
    </w:rPr>
  </w:style>
  <w:style w:type="paragraph" w:styleId="5">
    <w:name w:val="Body Text First Indent 2"/>
    <w:basedOn w:val="3"/>
    <w:qFormat/>
    <w:uiPriority w:val="0"/>
    <w:pPr>
      <w:spacing w:after="120"/>
      <w:ind w:left="420" w:leftChars="200" w:firstLine="420" w:firstLineChars="200"/>
    </w:pPr>
    <w:rPr>
      <w:rFonts w:eastAsia="仿宋_GB2312"/>
      <w:sz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3588</Words>
  <Characters>3725</Characters>
  <Lines>0</Lines>
  <Paragraphs>0</Paragraphs>
  <TotalTime>2</TotalTime>
  <ScaleCrop>false</ScaleCrop>
  <LinksUpToDate>false</LinksUpToDate>
  <CharactersWithSpaces>3745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2024-11-19T06:36:00Z</dcterms:created>
  <dc:creator>admin</dc:creator>
  <cp:lastModifiedBy>Zℋ°</cp:lastModifiedBy>
  <dcterms:modified xsi:type="dcterms:W3CDTF">2024-11-19T07:34:19Z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46A54602BDF543B8B7BD75411603B05D_12</vt:lpwstr>
  </property>
</Properties>
</file>