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A01554">
      <w:pPr>
        <w:keepNext w:val="0"/>
        <w:keepLines w:val="0"/>
        <w:pageBreakBefore w:val="0"/>
        <w:widowControl w:val="0"/>
        <w:kinsoku w:val="0"/>
        <w:wordWrap/>
        <w:overflowPunct w:val="0"/>
        <w:topLinePunct w:val="0"/>
        <w:autoSpaceDE w:val="0"/>
        <w:autoSpaceDN w:val="0"/>
        <w:bidi w:val="0"/>
        <w:adjustRightInd/>
        <w:snapToGrid/>
        <w:spacing w:line="360" w:lineRule="auto"/>
        <w:jc w:val="center"/>
        <w:textAlignment w:val="auto"/>
        <w:outlineLvl w:val="9"/>
        <w:rPr>
          <w:rFonts w:asciiTheme="minorEastAsia" w:hAnsiTheme="minorEastAsia" w:eastAsiaTheme="minorEastAsia"/>
          <w:b/>
          <w:spacing w:val="0"/>
          <w:position w:val="0"/>
          <w:sz w:val="28"/>
        </w:rPr>
      </w:pPr>
      <w:bookmarkStart w:id="0" w:name="_Toc19440"/>
      <w:r>
        <w:rPr>
          <w:rFonts w:hint="eastAsia" w:asciiTheme="minorEastAsia" w:hAnsiTheme="minorEastAsia" w:eastAsiaTheme="minorEastAsia"/>
          <w:b/>
          <w:spacing w:val="0"/>
          <w:position w:val="0"/>
          <w:sz w:val="28"/>
        </w:rPr>
        <w:t>采购需求</w:t>
      </w:r>
      <w:bookmarkEnd w:id="0"/>
    </w:p>
    <w:p w14:paraId="3EF1399B">
      <w:pPr>
        <w:keepNext w:val="0"/>
        <w:keepLines w:val="0"/>
        <w:pageBreakBefore w:val="0"/>
        <w:widowControl w:val="0"/>
        <w:kinsoku w:val="0"/>
        <w:wordWrap/>
        <w:overflowPunct w:val="0"/>
        <w:topLinePunct w:val="0"/>
        <w:autoSpaceDE w:val="0"/>
        <w:autoSpaceDN w:val="0"/>
        <w:bidi w:val="0"/>
        <w:adjustRightInd/>
        <w:snapToGrid/>
        <w:spacing w:line="480" w:lineRule="exact"/>
        <w:textAlignment w:val="auto"/>
        <w:outlineLvl w:val="9"/>
        <w:rPr>
          <w:rFonts w:asciiTheme="minorEastAsia" w:hAnsiTheme="minorEastAsia" w:eastAsiaTheme="minorEastAsia"/>
          <w:b/>
          <w:spacing w:val="0"/>
          <w:position w:val="0"/>
          <w:sz w:val="24"/>
        </w:rPr>
      </w:pPr>
      <w:r>
        <w:rPr>
          <w:rFonts w:hint="eastAsia" w:asciiTheme="minorEastAsia" w:hAnsiTheme="minorEastAsia" w:eastAsiaTheme="minorEastAsia"/>
          <w:b/>
          <w:spacing w:val="0"/>
          <w:position w:val="0"/>
          <w:sz w:val="24"/>
        </w:rPr>
        <w:t>前注：</w:t>
      </w:r>
    </w:p>
    <w:p w14:paraId="5D2FB98E">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1.本采购需求中提出的服务方案仅为参考，如无明确限制，供应商可以进行优化，提供满足采购人实际需要的更优（或者性能实质上不低于的）服务方案，且此方案须经磋商小组评审认可。</w:t>
      </w:r>
    </w:p>
    <w:p w14:paraId="700F2B7B">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2.下列采购需求中（包括但不限于下列具体政策要求）：</w:t>
      </w:r>
    </w:p>
    <w:p w14:paraId="610D0A3D">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1）如属于《节能产品政府采购品目清单》中政府强制采购的节能产品，则供应商所投产品须具有市场监管总局公布的《参与实施政府采购节能产品认证机构目录》中的认证机构出具的、处于有效期内的节能产品认证证书。</w:t>
      </w:r>
    </w:p>
    <w:p w14:paraId="3A5A2927">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（2）如涉及商品包装和快递包装，供应商应当执行《关于印发〈商品包装政府采购需求标准（试行）〉、〈快递包装政府采购需求标准（试行）〉的通知》（财办库〔2020〕123 号）、《安徽省财政厅关于贯彻落实政府绿色采购有关政策的通知》（皖财购〔2023〕853号）的要求，提供符合需求标准的绿色包装、绿色运输，同时，采购人将对包装材料和运输环节作为履约验收条款进行验收。</w:t>
      </w:r>
      <w:bookmarkStart w:id="1" w:name="_Toc26349"/>
      <w:bookmarkStart w:id="2" w:name="_Toc7699"/>
    </w:p>
    <w:p w14:paraId="4C1D000D">
      <w:pPr>
        <w:keepNext w:val="0"/>
        <w:keepLines w:val="0"/>
        <w:pageBreakBefore w:val="0"/>
        <w:widowControl w:val="0"/>
        <w:kinsoku w:val="0"/>
        <w:wordWrap/>
        <w:overflowPunct w:val="0"/>
        <w:topLinePunct w:val="0"/>
        <w:autoSpaceDE w:val="0"/>
        <w:autoSpaceDN w:val="0"/>
        <w:bidi w:val="0"/>
        <w:adjustRightInd/>
        <w:snapToGrid/>
        <w:spacing w:line="480" w:lineRule="exact"/>
        <w:ind w:firstLine="482" w:firstLineChars="200"/>
        <w:textAlignment w:val="auto"/>
        <w:outlineLvl w:val="9"/>
        <w:rPr>
          <w:rFonts w:hint="eastAsia" w:ascii="宋体" w:hAnsi="宋体" w:eastAsia="宋体"/>
          <w:b/>
          <w:spacing w:val="0"/>
          <w:position w:val="0"/>
          <w:sz w:val="24"/>
        </w:rPr>
      </w:pPr>
      <w:r>
        <w:rPr>
          <w:rFonts w:hint="eastAsia" w:ascii="宋体" w:hAnsi="宋体" w:eastAsia="宋体"/>
          <w:b/>
          <w:spacing w:val="0"/>
          <w:position w:val="0"/>
          <w:sz w:val="24"/>
        </w:rPr>
        <w:t>一、采购需求前附表</w:t>
      </w:r>
      <w:bookmarkEnd w:id="1"/>
      <w:bookmarkEnd w:id="2"/>
    </w:p>
    <w:tbl>
      <w:tblPr>
        <w:tblStyle w:val="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4"/>
        <w:gridCol w:w="2187"/>
        <w:gridCol w:w="5903"/>
      </w:tblGrid>
      <w:tr w14:paraId="168AD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91" w:type="pct"/>
            <w:vAlign w:val="center"/>
          </w:tcPr>
          <w:p w14:paraId="3AC0178E">
            <w:pPr>
              <w:pStyle w:val="5"/>
              <w:keepNext w:val="0"/>
              <w:keepLines w:val="0"/>
              <w:pageBreakBefore w:val="0"/>
              <w:widowControl w:val="0"/>
              <w:pBdr>
                <w:bottom w:val="none" w:color="auto" w:sz="0" w:space="0"/>
              </w:pBdr>
              <w:tabs>
                <w:tab w:val="clear" w:pos="4153"/>
                <w:tab w:val="clear" w:pos="8306"/>
              </w:tabs>
              <w:kinsoku w:val="0"/>
              <w:wordWrap/>
              <w:overflowPunct w:val="0"/>
              <w:topLinePunct w:val="0"/>
              <w:autoSpaceDE w:val="0"/>
              <w:autoSpaceDN w:val="0"/>
              <w:bidi w:val="0"/>
              <w:adjustRightInd/>
              <w:snapToGrid/>
              <w:spacing w:line="480" w:lineRule="exact"/>
              <w:textAlignment w:val="auto"/>
              <w:rPr>
                <w:rFonts w:ascii="宋体" w:hAnsi="宋体" w:eastAsia="宋体"/>
                <w:b/>
                <w:spacing w:val="0"/>
                <w:kern w:val="2"/>
                <w:position w:val="0"/>
              </w:rPr>
            </w:pPr>
            <w:bookmarkStart w:id="3" w:name="_Hlk16461016"/>
            <w:r>
              <w:rPr>
                <w:rFonts w:hint="eastAsia" w:ascii="宋体" w:hAnsi="宋体" w:eastAsia="宋体"/>
                <w:b/>
                <w:spacing w:val="0"/>
                <w:kern w:val="2"/>
                <w:position w:val="0"/>
              </w:rPr>
              <w:t>序号</w:t>
            </w:r>
          </w:p>
        </w:tc>
        <w:tc>
          <w:tcPr>
            <w:tcW w:w="1192" w:type="pct"/>
            <w:vAlign w:val="center"/>
          </w:tcPr>
          <w:p w14:paraId="62698FD7">
            <w:pPr>
              <w:pStyle w:val="5"/>
              <w:keepNext w:val="0"/>
              <w:keepLines w:val="0"/>
              <w:pageBreakBefore w:val="0"/>
              <w:widowControl w:val="0"/>
              <w:pBdr>
                <w:bottom w:val="none" w:color="auto" w:sz="0" w:space="0"/>
              </w:pBdr>
              <w:tabs>
                <w:tab w:val="clear" w:pos="4153"/>
                <w:tab w:val="clear" w:pos="8306"/>
              </w:tabs>
              <w:kinsoku w:val="0"/>
              <w:wordWrap/>
              <w:overflowPunct w:val="0"/>
              <w:topLinePunct w:val="0"/>
              <w:autoSpaceDE w:val="0"/>
              <w:autoSpaceDN w:val="0"/>
              <w:bidi w:val="0"/>
              <w:adjustRightInd/>
              <w:snapToGrid/>
              <w:spacing w:line="480" w:lineRule="exact"/>
              <w:textAlignment w:val="auto"/>
              <w:rPr>
                <w:rFonts w:ascii="宋体" w:hAnsi="宋体" w:eastAsia="宋体"/>
                <w:bCs/>
                <w:spacing w:val="0"/>
                <w:position w:val="0"/>
              </w:rPr>
            </w:pPr>
            <w:r>
              <w:rPr>
                <w:rFonts w:hint="eastAsia" w:ascii="宋体" w:hAnsi="宋体" w:eastAsia="宋体"/>
                <w:b/>
                <w:spacing w:val="0"/>
                <w:kern w:val="2"/>
                <w:position w:val="0"/>
              </w:rPr>
              <w:t>条款名称</w:t>
            </w:r>
          </w:p>
        </w:tc>
        <w:tc>
          <w:tcPr>
            <w:tcW w:w="3217" w:type="pct"/>
            <w:vAlign w:val="center"/>
          </w:tcPr>
          <w:p w14:paraId="4B9CF764">
            <w:pPr>
              <w:pStyle w:val="5"/>
              <w:keepNext w:val="0"/>
              <w:keepLines w:val="0"/>
              <w:pageBreakBefore w:val="0"/>
              <w:widowControl w:val="0"/>
              <w:pBdr>
                <w:bottom w:val="none" w:color="auto" w:sz="0" w:space="0"/>
              </w:pBdr>
              <w:tabs>
                <w:tab w:val="clear" w:pos="4153"/>
                <w:tab w:val="clear" w:pos="8306"/>
              </w:tabs>
              <w:kinsoku w:val="0"/>
              <w:wordWrap/>
              <w:overflowPunct w:val="0"/>
              <w:topLinePunct w:val="0"/>
              <w:autoSpaceDE w:val="0"/>
              <w:autoSpaceDN w:val="0"/>
              <w:bidi w:val="0"/>
              <w:adjustRightInd/>
              <w:snapToGrid/>
              <w:spacing w:line="480" w:lineRule="exact"/>
              <w:textAlignment w:val="auto"/>
              <w:rPr>
                <w:rFonts w:ascii="宋体" w:hAnsi="宋体" w:eastAsia="宋体"/>
                <w:bCs/>
                <w:spacing w:val="0"/>
                <w:position w:val="0"/>
              </w:rPr>
            </w:pPr>
            <w:r>
              <w:rPr>
                <w:rFonts w:hint="eastAsia" w:ascii="宋体" w:hAnsi="宋体" w:eastAsia="宋体"/>
                <w:b/>
                <w:spacing w:val="0"/>
                <w:kern w:val="2"/>
                <w:position w:val="0"/>
              </w:rPr>
              <w:t>内容、说明与要求</w:t>
            </w:r>
          </w:p>
        </w:tc>
      </w:tr>
      <w:tr w14:paraId="305CE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 w:hRule="atLeast"/>
          <w:jc w:val="center"/>
        </w:trPr>
        <w:tc>
          <w:tcPr>
            <w:tcW w:w="591" w:type="pct"/>
            <w:vAlign w:val="center"/>
          </w:tcPr>
          <w:p w14:paraId="318EB5AC">
            <w:pPr>
              <w:pStyle w:val="5"/>
              <w:keepNext w:val="0"/>
              <w:keepLines w:val="0"/>
              <w:pageBreakBefore w:val="0"/>
              <w:widowControl w:val="0"/>
              <w:pBdr>
                <w:bottom w:val="none" w:color="auto" w:sz="0" w:space="0"/>
              </w:pBdr>
              <w:tabs>
                <w:tab w:val="clear" w:pos="4153"/>
                <w:tab w:val="clear" w:pos="8306"/>
              </w:tabs>
              <w:kinsoku w:val="0"/>
              <w:wordWrap/>
              <w:overflowPunct w:val="0"/>
              <w:topLinePunct w:val="0"/>
              <w:autoSpaceDE w:val="0"/>
              <w:autoSpaceDN w:val="0"/>
              <w:bidi w:val="0"/>
              <w:adjustRightInd/>
              <w:snapToGrid/>
              <w:spacing w:line="480" w:lineRule="exact"/>
              <w:textAlignment w:val="auto"/>
              <w:rPr>
                <w:rFonts w:ascii="宋体" w:hAnsi="宋体" w:eastAsia="宋体"/>
                <w:bCs/>
                <w:spacing w:val="0"/>
                <w:kern w:val="2"/>
                <w:position w:val="0"/>
              </w:rPr>
            </w:pPr>
            <w:r>
              <w:rPr>
                <w:rFonts w:hint="eastAsia" w:ascii="宋体" w:hAnsi="宋体" w:eastAsia="宋体"/>
                <w:bCs/>
                <w:spacing w:val="0"/>
                <w:kern w:val="2"/>
                <w:position w:val="0"/>
              </w:rPr>
              <w:t>1</w:t>
            </w:r>
          </w:p>
        </w:tc>
        <w:tc>
          <w:tcPr>
            <w:tcW w:w="1192" w:type="pct"/>
            <w:vAlign w:val="center"/>
          </w:tcPr>
          <w:p w14:paraId="7793D384">
            <w:pPr>
              <w:pStyle w:val="6"/>
              <w:keepNext w:val="0"/>
              <w:keepLines w:val="0"/>
              <w:pageBreakBefore w:val="0"/>
              <w:widowControl w:val="0"/>
              <w:kinsoku w:val="0"/>
              <w:wordWrap/>
              <w:overflowPunct w:val="0"/>
              <w:topLinePunct w:val="0"/>
              <w:autoSpaceDE w:val="0"/>
              <w:autoSpaceDN w:val="0"/>
              <w:bidi w:val="0"/>
              <w:adjustRightInd/>
              <w:snapToGrid/>
              <w:spacing w:before="0" w:beforeAutospacing="0" w:after="0" w:afterAutospacing="0" w:line="480" w:lineRule="exact"/>
              <w:textAlignment w:val="auto"/>
              <w:rPr>
                <w:rFonts w:ascii="宋体" w:hAnsi="宋体" w:eastAsia="宋体"/>
                <w:b w:val="0"/>
                <w:spacing w:val="0"/>
                <w:position w:val="0"/>
                <w:sz w:val="24"/>
              </w:rPr>
            </w:pPr>
            <w:r>
              <w:rPr>
                <w:rFonts w:hint="eastAsia" w:ascii="宋体" w:hAnsi="宋体" w:eastAsia="宋体"/>
                <w:b w:val="0"/>
                <w:spacing w:val="0"/>
                <w:position w:val="0"/>
                <w:sz w:val="24"/>
              </w:rPr>
              <w:t>付款方式</w:t>
            </w:r>
          </w:p>
        </w:tc>
        <w:tc>
          <w:tcPr>
            <w:tcW w:w="5903" w:type="dxa"/>
            <w:vAlign w:val="center"/>
          </w:tcPr>
          <w:p w14:paraId="32D01700">
            <w:pPr>
              <w:keepNext w:val="0"/>
              <w:keepLines w:val="0"/>
              <w:pageBreakBefore w:val="0"/>
              <w:widowControl w:val="0"/>
              <w:kinsoku/>
              <w:wordWrap/>
              <w:overflowPunct/>
              <w:topLinePunct w:val="0"/>
              <w:autoSpaceDE/>
              <w:autoSpaceDN/>
              <w:bidi w:val="0"/>
              <w:adjustRightInd w:val="0"/>
              <w:snapToGrid w:val="0"/>
              <w:spacing w:beforeAutospacing="0" w:afterAutospacing="0" w:line="480" w:lineRule="exact"/>
              <w:jc w:val="both"/>
              <w:textAlignment w:val="auto"/>
              <w:rPr>
                <w:rFonts w:hint="eastAsia" w:ascii="宋体" w:hAnsi="宋体" w:eastAsia="宋体"/>
                <w:b w:val="0"/>
                <w:spacing w:val="0"/>
                <w:position w:val="0"/>
                <w:sz w:val="24"/>
                <w:u w:val="single"/>
                <w:lang w:eastAsia="zh-CN"/>
              </w:rPr>
            </w:pPr>
            <w:r>
              <w:rPr>
                <w:rFonts w:hint="eastAsia" w:ascii="宋体" w:hAnsi="宋体" w:eastAsia="宋体" w:cs="宋体"/>
                <w:color w:val="auto"/>
                <w:kern w:val="0"/>
                <w:sz w:val="24"/>
                <w:szCs w:val="24"/>
                <w:lang w:val="en-US" w:eastAsia="zh-CN" w:bidi="ar"/>
              </w:rPr>
              <w:t>本工程竣工验收合格、结算审计完成并出具审计报告后7个工作日内一次性付清。</w:t>
            </w:r>
          </w:p>
        </w:tc>
      </w:tr>
      <w:tr w14:paraId="26C3D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91" w:type="pct"/>
            <w:vAlign w:val="center"/>
          </w:tcPr>
          <w:p w14:paraId="5EF0D570">
            <w:pPr>
              <w:pStyle w:val="5"/>
              <w:keepNext w:val="0"/>
              <w:keepLines w:val="0"/>
              <w:pageBreakBefore w:val="0"/>
              <w:widowControl w:val="0"/>
              <w:pBdr>
                <w:bottom w:val="none" w:color="auto" w:sz="0" w:space="0"/>
              </w:pBdr>
              <w:tabs>
                <w:tab w:val="clear" w:pos="4153"/>
                <w:tab w:val="clear" w:pos="8306"/>
              </w:tabs>
              <w:kinsoku w:val="0"/>
              <w:wordWrap/>
              <w:overflowPunct w:val="0"/>
              <w:topLinePunct w:val="0"/>
              <w:autoSpaceDE w:val="0"/>
              <w:autoSpaceDN w:val="0"/>
              <w:bidi w:val="0"/>
              <w:adjustRightInd/>
              <w:snapToGrid/>
              <w:spacing w:line="480" w:lineRule="exact"/>
              <w:textAlignment w:val="auto"/>
              <w:rPr>
                <w:rFonts w:ascii="宋体" w:hAnsi="宋体" w:eastAsia="宋体"/>
                <w:bCs/>
                <w:spacing w:val="0"/>
                <w:kern w:val="2"/>
                <w:position w:val="0"/>
              </w:rPr>
            </w:pPr>
            <w:r>
              <w:rPr>
                <w:rFonts w:hint="eastAsia" w:ascii="宋体" w:hAnsi="宋体" w:eastAsia="宋体"/>
                <w:bCs/>
                <w:spacing w:val="0"/>
                <w:kern w:val="2"/>
                <w:position w:val="0"/>
              </w:rPr>
              <w:t>2</w:t>
            </w:r>
          </w:p>
        </w:tc>
        <w:tc>
          <w:tcPr>
            <w:tcW w:w="1192" w:type="pct"/>
            <w:vAlign w:val="center"/>
          </w:tcPr>
          <w:p w14:paraId="5BAB37D1">
            <w:pPr>
              <w:pStyle w:val="6"/>
              <w:keepNext w:val="0"/>
              <w:keepLines w:val="0"/>
              <w:pageBreakBefore w:val="0"/>
              <w:widowControl w:val="0"/>
              <w:kinsoku w:val="0"/>
              <w:wordWrap/>
              <w:overflowPunct w:val="0"/>
              <w:topLinePunct w:val="0"/>
              <w:autoSpaceDE w:val="0"/>
              <w:autoSpaceDN w:val="0"/>
              <w:bidi w:val="0"/>
              <w:adjustRightInd/>
              <w:snapToGrid/>
              <w:spacing w:before="0" w:beforeAutospacing="0" w:after="0" w:afterAutospacing="0" w:line="480" w:lineRule="exact"/>
              <w:textAlignment w:val="auto"/>
              <w:rPr>
                <w:rFonts w:ascii="宋体" w:hAnsi="宋体" w:eastAsia="宋体"/>
                <w:b w:val="0"/>
                <w:spacing w:val="0"/>
                <w:position w:val="0"/>
                <w:sz w:val="24"/>
              </w:rPr>
            </w:pPr>
            <w:r>
              <w:rPr>
                <w:rFonts w:hint="eastAsia" w:ascii="宋体" w:hAnsi="宋体" w:eastAsia="宋体"/>
                <w:b w:val="0"/>
                <w:spacing w:val="0"/>
                <w:position w:val="0"/>
                <w:sz w:val="24"/>
              </w:rPr>
              <w:t>服务地点</w:t>
            </w:r>
          </w:p>
        </w:tc>
        <w:tc>
          <w:tcPr>
            <w:tcW w:w="5903" w:type="dxa"/>
            <w:vAlign w:val="center"/>
          </w:tcPr>
          <w:p w14:paraId="0B9E85CB">
            <w:pPr>
              <w:keepNext w:val="0"/>
              <w:keepLines w:val="0"/>
              <w:pageBreakBefore w:val="0"/>
              <w:widowControl/>
              <w:suppressLineNumbers w:val="0"/>
              <w:kinsoku/>
              <w:wordWrap/>
              <w:overflowPunct/>
              <w:topLinePunct w:val="0"/>
              <w:autoSpaceDE/>
              <w:autoSpaceDN/>
              <w:bidi w:val="0"/>
              <w:spacing w:line="480" w:lineRule="exact"/>
              <w:jc w:val="both"/>
              <w:textAlignment w:val="auto"/>
              <w:rPr>
                <w:rFonts w:hint="eastAsia" w:ascii="宋体" w:hAnsi="宋体" w:eastAsia="宋体" w:cs="宋体"/>
                <w:b w:val="0"/>
                <w:spacing w:val="0"/>
                <w:position w:val="0"/>
                <w:sz w:val="24"/>
                <w:szCs w:val="24"/>
                <w:lang w:eastAsia="zh-CN"/>
              </w:rPr>
            </w:pPr>
            <w:r>
              <w:rPr>
                <w:rFonts w:hint="eastAsia" w:ascii="宋体" w:hAnsi="宋体" w:eastAsia="宋体" w:cs="宋体"/>
                <w:color w:val="auto"/>
                <w:kern w:val="0"/>
                <w:sz w:val="24"/>
                <w:szCs w:val="24"/>
                <w:lang w:val="en-US" w:eastAsia="zh-CN" w:bidi="ar"/>
              </w:rPr>
              <w:t>枞阳县人民医院</w:t>
            </w:r>
          </w:p>
        </w:tc>
      </w:tr>
      <w:tr w14:paraId="497E5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91" w:type="pct"/>
            <w:vAlign w:val="center"/>
          </w:tcPr>
          <w:p w14:paraId="52236B5D">
            <w:pPr>
              <w:pStyle w:val="5"/>
              <w:keepNext w:val="0"/>
              <w:keepLines w:val="0"/>
              <w:pageBreakBefore w:val="0"/>
              <w:widowControl w:val="0"/>
              <w:pBdr>
                <w:bottom w:val="none" w:color="auto" w:sz="0" w:space="0"/>
              </w:pBdr>
              <w:tabs>
                <w:tab w:val="clear" w:pos="4153"/>
                <w:tab w:val="clear" w:pos="8306"/>
              </w:tabs>
              <w:kinsoku w:val="0"/>
              <w:wordWrap/>
              <w:overflowPunct w:val="0"/>
              <w:topLinePunct w:val="0"/>
              <w:autoSpaceDE w:val="0"/>
              <w:autoSpaceDN w:val="0"/>
              <w:bidi w:val="0"/>
              <w:adjustRightInd/>
              <w:snapToGrid/>
              <w:spacing w:line="480" w:lineRule="exact"/>
              <w:textAlignment w:val="auto"/>
              <w:rPr>
                <w:rFonts w:ascii="宋体" w:hAnsi="宋体" w:eastAsia="宋体"/>
                <w:bCs/>
                <w:spacing w:val="0"/>
                <w:kern w:val="2"/>
                <w:position w:val="0"/>
              </w:rPr>
            </w:pPr>
            <w:r>
              <w:rPr>
                <w:rFonts w:hint="eastAsia" w:ascii="宋体" w:hAnsi="宋体" w:eastAsia="宋体"/>
                <w:bCs/>
                <w:spacing w:val="0"/>
                <w:kern w:val="2"/>
                <w:position w:val="0"/>
              </w:rPr>
              <w:t>3</w:t>
            </w:r>
          </w:p>
        </w:tc>
        <w:tc>
          <w:tcPr>
            <w:tcW w:w="1192" w:type="pct"/>
            <w:vAlign w:val="center"/>
          </w:tcPr>
          <w:p w14:paraId="3233D16B">
            <w:pPr>
              <w:pStyle w:val="6"/>
              <w:keepNext w:val="0"/>
              <w:keepLines w:val="0"/>
              <w:pageBreakBefore w:val="0"/>
              <w:widowControl w:val="0"/>
              <w:kinsoku w:val="0"/>
              <w:wordWrap/>
              <w:overflowPunct w:val="0"/>
              <w:topLinePunct w:val="0"/>
              <w:autoSpaceDE w:val="0"/>
              <w:autoSpaceDN w:val="0"/>
              <w:bidi w:val="0"/>
              <w:adjustRightInd/>
              <w:snapToGrid/>
              <w:spacing w:before="0" w:beforeAutospacing="0" w:after="0" w:afterAutospacing="0" w:line="480" w:lineRule="exact"/>
              <w:textAlignment w:val="auto"/>
              <w:rPr>
                <w:rFonts w:ascii="宋体" w:hAnsi="宋体" w:eastAsia="宋体"/>
                <w:b w:val="0"/>
                <w:spacing w:val="0"/>
                <w:position w:val="0"/>
                <w:sz w:val="24"/>
              </w:rPr>
            </w:pPr>
            <w:r>
              <w:rPr>
                <w:rFonts w:hint="eastAsia" w:ascii="宋体" w:hAnsi="宋体" w:eastAsia="宋体"/>
                <w:b w:val="0"/>
                <w:spacing w:val="0"/>
                <w:position w:val="0"/>
                <w:sz w:val="24"/>
              </w:rPr>
              <w:t>服务期限</w:t>
            </w:r>
          </w:p>
        </w:tc>
        <w:tc>
          <w:tcPr>
            <w:tcW w:w="5903" w:type="dxa"/>
            <w:vAlign w:val="center"/>
          </w:tcPr>
          <w:p w14:paraId="142A2864">
            <w:pPr>
              <w:keepNext w:val="0"/>
              <w:keepLines w:val="0"/>
              <w:pageBreakBefore w:val="0"/>
              <w:widowControl/>
              <w:suppressLineNumbers w:val="0"/>
              <w:kinsoku/>
              <w:wordWrap/>
              <w:overflowPunct/>
              <w:topLinePunct w:val="0"/>
              <w:autoSpaceDE/>
              <w:autoSpaceDN/>
              <w:bidi w:val="0"/>
              <w:spacing w:line="480" w:lineRule="exact"/>
              <w:jc w:val="both"/>
              <w:textAlignment w:val="auto"/>
              <w:rPr>
                <w:rFonts w:hint="eastAsia" w:ascii="宋体" w:hAnsi="宋体" w:eastAsia="宋体" w:cs="宋体"/>
                <w:b w:val="0"/>
                <w:spacing w:val="0"/>
                <w:position w:val="0"/>
                <w:sz w:val="24"/>
                <w:szCs w:val="24"/>
                <w:lang w:eastAsia="zh-CN"/>
              </w:rPr>
            </w:pPr>
            <w:r>
              <w:rPr>
                <w:rFonts w:hint="eastAsia" w:ascii="宋体" w:hAnsi="宋体" w:eastAsia="宋体" w:cs="宋体"/>
                <w:color w:val="auto"/>
                <w:kern w:val="0"/>
                <w:sz w:val="24"/>
                <w:szCs w:val="24"/>
                <w:lang w:val="en-US" w:eastAsia="zh-CN" w:bidi="ar"/>
              </w:rPr>
              <w:t>自监理合同签订之日起至缺陷责任期期满止。</w:t>
            </w:r>
          </w:p>
        </w:tc>
      </w:tr>
      <w:tr w14:paraId="1DE8D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91" w:type="pct"/>
            <w:vAlign w:val="center"/>
          </w:tcPr>
          <w:p w14:paraId="270F0629">
            <w:pPr>
              <w:pStyle w:val="5"/>
              <w:keepNext w:val="0"/>
              <w:keepLines w:val="0"/>
              <w:pageBreakBefore w:val="0"/>
              <w:widowControl w:val="0"/>
              <w:pBdr>
                <w:bottom w:val="none" w:color="auto" w:sz="0" w:space="0"/>
              </w:pBdr>
              <w:tabs>
                <w:tab w:val="clear" w:pos="4153"/>
                <w:tab w:val="clear" w:pos="8306"/>
              </w:tabs>
              <w:kinsoku w:val="0"/>
              <w:wordWrap/>
              <w:overflowPunct w:val="0"/>
              <w:topLinePunct w:val="0"/>
              <w:autoSpaceDE w:val="0"/>
              <w:autoSpaceDN w:val="0"/>
              <w:bidi w:val="0"/>
              <w:adjustRightInd/>
              <w:snapToGrid/>
              <w:spacing w:line="480" w:lineRule="exact"/>
              <w:textAlignment w:val="auto"/>
              <w:rPr>
                <w:rFonts w:ascii="宋体" w:hAnsi="宋体" w:eastAsia="宋体"/>
                <w:bCs/>
                <w:spacing w:val="0"/>
                <w:kern w:val="2"/>
                <w:position w:val="0"/>
              </w:rPr>
            </w:pPr>
            <w:r>
              <w:rPr>
                <w:rFonts w:hint="eastAsia" w:ascii="宋体" w:hAnsi="宋体" w:eastAsia="宋体"/>
                <w:bCs/>
                <w:spacing w:val="0"/>
                <w:kern w:val="2"/>
                <w:position w:val="0"/>
              </w:rPr>
              <w:t>4</w:t>
            </w:r>
          </w:p>
        </w:tc>
        <w:tc>
          <w:tcPr>
            <w:tcW w:w="1192" w:type="pct"/>
            <w:vAlign w:val="center"/>
          </w:tcPr>
          <w:p w14:paraId="6732B5E4">
            <w:pPr>
              <w:pStyle w:val="6"/>
              <w:keepNext w:val="0"/>
              <w:keepLines w:val="0"/>
              <w:pageBreakBefore w:val="0"/>
              <w:widowControl w:val="0"/>
              <w:kinsoku w:val="0"/>
              <w:wordWrap/>
              <w:overflowPunct w:val="0"/>
              <w:topLinePunct w:val="0"/>
              <w:autoSpaceDE w:val="0"/>
              <w:autoSpaceDN w:val="0"/>
              <w:bidi w:val="0"/>
              <w:adjustRightInd/>
              <w:snapToGrid/>
              <w:spacing w:before="0" w:beforeAutospacing="0" w:after="0" w:afterAutospacing="0" w:line="480" w:lineRule="exact"/>
              <w:textAlignment w:val="auto"/>
              <w:rPr>
                <w:rFonts w:ascii="宋体" w:hAnsi="宋体" w:eastAsia="宋体"/>
                <w:b w:val="0"/>
                <w:spacing w:val="0"/>
                <w:position w:val="0"/>
                <w:sz w:val="24"/>
              </w:rPr>
            </w:pPr>
            <w:r>
              <w:rPr>
                <w:rFonts w:hint="eastAsia" w:ascii="宋体" w:hAnsi="宋体" w:eastAsia="宋体"/>
                <w:b w:val="0"/>
                <w:spacing w:val="0"/>
                <w:position w:val="0"/>
                <w:sz w:val="24"/>
              </w:rPr>
              <w:t>本项目采购标的名称及所属行业</w:t>
            </w:r>
          </w:p>
        </w:tc>
        <w:tc>
          <w:tcPr>
            <w:tcW w:w="5903" w:type="dxa"/>
            <w:vAlign w:val="center"/>
          </w:tcPr>
          <w:p w14:paraId="52E5F2A2">
            <w:pPr>
              <w:keepNext w:val="0"/>
              <w:keepLines w:val="0"/>
              <w:pageBreakBefore w:val="0"/>
              <w:widowControl/>
              <w:suppressLineNumbers w:val="0"/>
              <w:kinsoku/>
              <w:wordWrap/>
              <w:overflowPunct/>
              <w:topLinePunct w:val="0"/>
              <w:autoSpaceDE/>
              <w:autoSpaceDN/>
              <w:bidi w:val="0"/>
              <w:spacing w:line="480" w:lineRule="exact"/>
              <w:jc w:val="both"/>
              <w:textAlignment w:val="auto"/>
              <w:rPr>
                <w:rFonts w:hint="eastAsia" w:ascii="宋体" w:hAnsi="宋体" w:eastAsia="宋体" w:cs="宋体"/>
                <w:color w:val="auto"/>
                <w:kern w:val="0"/>
                <w:sz w:val="24"/>
                <w:szCs w:val="24"/>
                <w:lang w:val="en-US" w:eastAsia="en-US" w:bidi="ar"/>
              </w:rPr>
            </w:pPr>
            <w:r>
              <w:rPr>
                <w:rFonts w:hint="eastAsia" w:ascii="宋体" w:hAnsi="宋体" w:eastAsia="宋体" w:cs="宋体"/>
                <w:color w:val="auto"/>
                <w:kern w:val="0"/>
                <w:sz w:val="24"/>
                <w:szCs w:val="24"/>
                <w:lang w:val="en-US" w:eastAsia="en-US" w:bidi="ar"/>
              </w:rPr>
              <w:t>标的名称：</w:t>
            </w:r>
            <w:bookmarkStart w:id="4" w:name="_GoBack"/>
            <w:bookmarkEnd w:id="4"/>
            <w:r>
              <w:rPr>
                <w:rFonts w:hint="eastAsia" w:ascii="宋体" w:hAnsi="宋体" w:eastAsia="宋体" w:cs="宋体"/>
                <w:color w:val="auto"/>
                <w:kern w:val="0"/>
                <w:sz w:val="24"/>
                <w:szCs w:val="24"/>
                <w:lang w:val="en-US" w:eastAsia="zh-CN" w:bidi="ar"/>
              </w:rPr>
              <w:t>枞阳县人民医院医共体服务能力提升项目外科大楼重症监护病房及连廊工程监理服务（二次）</w:t>
            </w:r>
          </w:p>
          <w:p w14:paraId="2A7BD453">
            <w:pPr>
              <w:keepNext w:val="0"/>
              <w:keepLines w:val="0"/>
              <w:pageBreakBefore w:val="0"/>
              <w:widowControl/>
              <w:suppressLineNumbers w:val="0"/>
              <w:kinsoku/>
              <w:wordWrap/>
              <w:overflowPunct/>
              <w:topLinePunct w:val="0"/>
              <w:autoSpaceDE/>
              <w:autoSpaceDN/>
              <w:bidi w:val="0"/>
              <w:spacing w:line="480" w:lineRule="exact"/>
              <w:jc w:val="both"/>
              <w:textAlignment w:val="auto"/>
              <w:rPr>
                <w:rFonts w:hint="eastAsia" w:ascii="宋体" w:hAnsi="宋体" w:eastAsia="宋体" w:cs="宋体"/>
                <w:b w:val="0"/>
                <w:spacing w:val="0"/>
                <w:position w:val="0"/>
                <w:sz w:val="24"/>
                <w:szCs w:val="24"/>
                <w:lang w:eastAsia="zh-CN"/>
              </w:rPr>
            </w:pPr>
            <w:r>
              <w:rPr>
                <w:rFonts w:hint="eastAsia" w:ascii="宋体" w:hAnsi="宋体" w:eastAsia="宋体" w:cs="宋体"/>
                <w:color w:val="auto"/>
                <w:kern w:val="0"/>
                <w:sz w:val="24"/>
                <w:szCs w:val="24"/>
                <w:lang w:val="en-US" w:eastAsia="en-US" w:bidi="ar"/>
              </w:rPr>
              <w:t>所属行业：</w:t>
            </w:r>
            <w:r>
              <w:rPr>
                <w:rFonts w:hint="eastAsia" w:ascii="宋体" w:hAnsi="宋体" w:eastAsia="宋体" w:cs="宋体"/>
                <w:color w:val="auto"/>
                <w:kern w:val="0"/>
                <w:sz w:val="24"/>
                <w:szCs w:val="24"/>
                <w:lang w:val="en-US" w:eastAsia="zh-CN" w:bidi="ar"/>
              </w:rPr>
              <w:t>其他未列明行业</w:t>
            </w:r>
          </w:p>
        </w:tc>
      </w:tr>
      <w:bookmarkEnd w:id="3"/>
    </w:tbl>
    <w:p w14:paraId="11AD2002">
      <w:pPr>
        <w:keepNext w:val="0"/>
        <w:keepLines w:val="0"/>
        <w:pageBreakBefore w:val="0"/>
        <w:widowControl w:val="0"/>
        <w:kinsoku w:val="0"/>
        <w:wordWrap/>
        <w:overflowPunct w:val="0"/>
        <w:topLinePunct w:val="0"/>
        <w:autoSpaceDE w:val="0"/>
        <w:autoSpaceDN w:val="0"/>
        <w:bidi w:val="0"/>
        <w:adjustRightInd/>
        <w:snapToGrid/>
        <w:spacing w:line="480" w:lineRule="exact"/>
        <w:ind w:firstLine="482" w:firstLineChars="200"/>
        <w:textAlignment w:val="auto"/>
        <w:outlineLvl w:val="9"/>
        <w:rPr>
          <w:rFonts w:hint="eastAsia" w:ascii="宋体" w:hAnsi="宋体" w:eastAsia="宋体"/>
          <w:b/>
          <w:spacing w:val="0"/>
          <w:position w:val="0"/>
          <w:sz w:val="24"/>
          <w:lang w:eastAsia="en-US"/>
        </w:rPr>
      </w:pPr>
      <w:r>
        <w:rPr>
          <w:rFonts w:hint="eastAsia" w:ascii="宋体" w:hAnsi="宋体" w:eastAsia="宋体"/>
          <w:b/>
          <w:spacing w:val="0"/>
          <w:position w:val="0"/>
          <w:sz w:val="24"/>
          <w:lang w:eastAsia="zh-CN"/>
        </w:rPr>
        <w:t>二、</w:t>
      </w:r>
      <w:r>
        <w:rPr>
          <w:rFonts w:hint="eastAsia" w:ascii="宋体" w:hAnsi="宋体" w:eastAsia="宋体"/>
          <w:b/>
          <w:spacing w:val="0"/>
          <w:position w:val="0"/>
          <w:sz w:val="24"/>
          <w:lang w:eastAsia="en-US"/>
        </w:rPr>
        <w:t>项目概况</w:t>
      </w:r>
    </w:p>
    <w:p w14:paraId="172BD241">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1.建设规模：枞阳县人民医院医共体服务能力提升项目外科大楼重症监护病房及连廊工程，外科大楼重症监护病房建筑面积约1400平方米，主要建设内容为重症监护病房的洁净装饰和改造、水电暖和消防工程的改造安装以及医用气体安装等，涉及医用气密门、医疗专用灯、气体终端、医气系统、医疗设备带、吊塔等安装，满足重症监护病房气流组织等院感控制等要求，具体见施工图纸；项目地点为枞阳县人民医院外科综合大楼四楼，建设场地现状为大空间，并按照大空间的布置进行消防工程安装。连廊工程为外科大楼与内科大楼之间新建一层连廊，建筑面积约294.22㎡，具体详见施工图纸。</w:t>
      </w:r>
    </w:p>
    <w:p w14:paraId="60ECF494">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2.工程监理内容：上述工程施工及缺陷责任期全过程监理，含建设工程项目施工前期准备阶段及施工阶段的质量、进度、投资控制和安全、合同、信息管理及各参建方协调等监理及后续服务工作。</w:t>
      </w:r>
    </w:p>
    <w:p w14:paraId="5EE525D5">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3.工程监理范围：本次监理工程主要范围为上述工程施工及缺陷责任期全过程监理。在项目实施中如有增减项，成交供应商的服务内容则相应予以增加或减少，并作为本次招标的组成部分，费用为包干价，不因工程量增减、工期延期而调整。</w:t>
      </w:r>
    </w:p>
    <w:p w14:paraId="2200CEF0">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工程监理具体内容详见施工设计图内容和有关说明。</w:t>
      </w:r>
    </w:p>
    <w:p w14:paraId="651444E1">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4.工程质量监理及检查验收标准、采购人的项目实施目标、拟采用的具体项目控制手段：本工程以工程施工设计图纸、图纸会审记录、设计变更通知书、技术联系单、各类试验报告、产品合格证书等有关资料和合同规定的条款为依据，按国家颁布的工程施工验收规范及监理大纲进行监理、检查、验收。</w:t>
      </w:r>
    </w:p>
    <w:p w14:paraId="5F378F32">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5.承诺提供正常监理服务以外其他的相关服务，包括但不限于配合采购人办理报建、报批、报审、施工招标过程的技术服务、施工图设计文件复核、施工合同的拟定、洽谈以及施工许可证申请办理、工程现场前期的准备工作、设计协调、竣工验收、工程结算初审、工程备案以及工期控制等全过程服务。</w:t>
      </w:r>
    </w:p>
    <w:p w14:paraId="0F0E5D8C">
      <w:pPr>
        <w:keepNext w:val="0"/>
        <w:keepLines w:val="0"/>
        <w:pageBreakBefore w:val="0"/>
        <w:widowControl w:val="0"/>
        <w:kinsoku/>
        <w:wordWrap/>
        <w:overflowPunct/>
        <w:topLinePunct w:val="0"/>
        <w:autoSpaceDE/>
        <w:autoSpaceDN/>
        <w:bidi w:val="0"/>
        <w:adjustRightInd w:val="0"/>
        <w:snapToGrid w:val="0"/>
        <w:spacing w:line="480" w:lineRule="exact"/>
        <w:ind w:firstLine="482" w:firstLineChars="200"/>
        <w:textAlignment w:val="auto"/>
        <w:outlineLvl w:val="9"/>
        <w:rPr>
          <w:rFonts w:hint="eastAsia" w:ascii="宋体" w:hAnsi="宋体" w:eastAsia="宋体"/>
          <w:b/>
          <w:bCs/>
          <w:color w:val="auto"/>
          <w:sz w:val="24"/>
          <w:highlight w:val="none"/>
          <w:lang w:val="en-US" w:eastAsia="zh-CN"/>
        </w:rPr>
      </w:pPr>
      <w:r>
        <w:rPr>
          <w:rFonts w:hint="eastAsia" w:ascii="宋体" w:hAnsi="宋体" w:eastAsia="宋体"/>
          <w:b/>
          <w:bCs/>
          <w:color w:val="auto"/>
          <w:sz w:val="24"/>
          <w:highlight w:val="none"/>
          <w:lang w:val="en-US" w:eastAsia="zh-CN"/>
        </w:rPr>
        <w:t>三、对供应商的要求</w:t>
      </w:r>
    </w:p>
    <w:p w14:paraId="5C0E92BB">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1.供应商资质及本工程拟任总监、监理工程师资质要求：详见磋商文件要求。</w:t>
      </w:r>
    </w:p>
    <w:p w14:paraId="34162369">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2.供应商在本地区没有被限制、取消投标资格或禁止进入本地区建设市场且处于有效期的行政处罚，具备相应监理技术装备及监理技术。</w:t>
      </w:r>
    </w:p>
    <w:p w14:paraId="52022425">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3.各供应商必须按本工程的特点，认真阅读磋商文件内容，按照磋商文件要求编写响应文件，其内容必须详尽。</w:t>
      </w:r>
    </w:p>
    <w:p w14:paraId="15385533">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4.供应商须具备保证施工质量的监理管理体系。</w:t>
      </w:r>
    </w:p>
    <w:p w14:paraId="73D2CD13">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5.供应商在本工程中配备的总监及监理工程师，须具有丰富的监理经验、身体健康、年龄适中、有良好职业道德的专职人员。总监理工程师必须具备国家注册监理工程师执业资格。</w:t>
      </w:r>
    </w:p>
    <w:p w14:paraId="6FAEC128">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6.承担本项目监理的监理机构须进驻现场，总监理工程师必须常驻现场，所有监理人员出勤率为100%（含总监），项目监理机构关键岗位人员必须符合住房城乡建设部及安徽省相关标准规定，否则根据相关规定予以处理，直至清退出场。</w:t>
      </w:r>
    </w:p>
    <w:p w14:paraId="43FBB3D9">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7.在建设过程中，成交供应商必须按磋商时承诺配备的人员及时到位。未经采购人同意，成交供应商不得擅自更换磋商时所报总监理工程师及其他监理人员。根据现场施工情况，保证监理人员每天到场数量，采购人有权根据监理现场人员到位情况，要求其增加专业人员，监理单位必须服从，否则，视同成交供应商违约，采购人有权中止合同履行。</w:t>
      </w:r>
    </w:p>
    <w:p w14:paraId="47F09D04">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8.因监理原因造成工程质量缺陷、进度滞后、工期延误，给委托人造成损失的，委托人有权在监理合同价款中扣除相关损失费用。</w:t>
      </w:r>
    </w:p>
    <w:p w14:paraId="41ADAFA5">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9.成交供应商应及时安排专业人员负责本项目的工程量形象进度审核工作，向委托人提交监理工作月报及监理业务范围内的专项报告。</w:t>
      </w:r>
    </w:p>
    <w:p w14:paraId="7CD4D45E">
      <w:pPr>
        <w:keepNext w:val="0"/>
        <w:keepLines w:val="0"/>
        <w:pageBreakBefore w:val="0"/>
        <w:widowControl w:val="0"/>
        <w:kinsoku/>
        <w:wordWrap/>
        <w:overflowPunct/>
        <w:topLinePunct w:val="0"/>
        <w:autoSpaceDE/>
        <w:autoSpaceDN/>
        <w:bidi w:val="0"/>
        <w:adjustRightInd w:val="0"/>
        <w:snapToGrid w:val="0"/>
        <w:spacing w:line="480" w:lineRule="exact"/>
        <w:ind w:firstLine="482" w:firstLineChars="200"/>
        <w:textAlignment w:val="auto"/>
        <w:outlineLvl w:val="9"/>
        <w:rPr>
          <w:rFonts w:hint="eastAsia" w:ascii="宋体" w:hAnsi="宋体" w:eastAsia="宋体"/>
          <w:b/>
          <w:bCs/>
          <w:color w:val="auto"/>
          <w:sz w:val="24"/>
          <w:highlight w:val="none"/>
          <w:lang w:val="en-US" w:eastAsia="zh-CN"/>
        </w:rPr>
      </w:pPr>
      <w:r>
        <w:rPr>
          <w:rFonts w:hint="eastAsia" w:ascii="宋体" w:hAnsi="宋体" w:eastAsia="宋体"/>
          <w:b/>
          <w:bCs/>
          <w:color w:val="auto"/>
          <w:sz w:val="24"/>
          <w:highlight w:val="none"/>
          <w:lang w:val="en-US" w:eastAsia="zh-CN"/>
        </w:rPr>
        <w:t>10.对供应商人员的最低配备要求：</w:t>
      </w:r>
    </w:p>
    <w:p w14:paraId="06CFE883">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①拟派总监理工程师：1人，具有房屋建筑工程专业国家监理工程师注册证书。</w:t>
      </w:r>
    </w:p>
    <w:p w14:paraId="44F7D186">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注：响应文件中提供拟派总监注册证书（注册执业证书中聘用企业名称必须与供应商企业名称一致）及自磋商响应截止时间前三个月内任意一个月供应商（或供应商不具备独立法人资格的分支机构）所属社保机构为其缴纳的社保缴费证明（或其他能够证明其参加社保的有效证明材料）。拟派项目总监如为退休人员的，应符合国家法律法规关于从业人员执业年龄的规定，同时响应文件中须提供拟派退休人员身份证、退休证及供应商企业聘用合同（劳务合同）。</w:t>
      </w:r>
    </w:p>
    <w:p w14:paraId="23BA9FDE">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②拟派专业监理工程师：2人。</w:t>
      </w:r>
    </w:p>
    <w:p w14:paraId="1C993900">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③拟派监理员：2人（根据安徽省住房和城乡建设厅《关于调整招标投标活动中有关住房城乡建设领域现场专业人员证书要求的通知》（建市函〔2019〕1112号）要求，不再要求将住房城乡建设领域监理员持证情况列入招标投标文件。成交供应商和采购人在签订合同时应按照不低于本表监理员配置的要求填写承包人主要人员表，并作为合同的附件之一）。响应文件中无须提供监理员证明材料。</w:t>
      </w:r>
    </w:p>
    <w:p w14:paraId="21E3366A">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注：以上人员不得兼任，所列监理人员配额为响应时须提供的最低专业人数要求；施工过程中，成交供应商项目监理机构关键岗位人员须符合住房城乡建设部及安徽省相关标准规定，配置满足工程项目监理工作进展需要人数，且应专业配套。</w:t>
      </w:r>
    </w:p>
    <w:p w14:paraId="58149900">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成交供应商不得擅自更换响应文件中所报总监理工程师、专业监理工程师,否则采购人有权解除合同，由此造成的损失由成交供应商自行承担。确需更换的须在签订合同后，报经采购人同意后按相关规定办理。更换后的人员不得低于承包人响应时所报人员资质和技术水平。</w:t>
      </w:r>
    </w:p>
    <w:p w14:paraId="18051EC3">
      <w:pPr>
        <w:keepNext w:val="0"/>
        <w:keepLines w:val="0"/>
        <w:pageBreakBefore w:val="0"/>
        <w:widowControl w:val="0"/>
        <w:kinsoku/>
        <w:wordWrap/>
        <w:overflowPunct/>
        <w:topLinePunct w:val="0"/>
        <w:autoSpaceDE/>
        <w:autoSpaceDN/>
        <w:bidi w:val="0"/>
        <w:adjustRightInd w:val="0"/>
        <w:snapToGrid w:val="0"/>
        <w:spacing w:line="480" w:lineRule="exact"/>
        <w:ind w:firstLine="482" w:firstLineChars="200"/>
        <w:textAlignment w:val="auto"/>
        <w:outlineLvl w:val="9"/>
        <w:rPr>
          <w:rFonts w:hint="eastAsia" w:ascii="宋体" w:hAnsi="宋体" w:eastAsia="宋体"/>
          <w:b/>
          <w:bCs/>
          <w:color w:val="auto"/>
          <w:sz w:val="24"/>
          <w:highlight w:val="none"/>
          <w:lang w:val="en-US" w:eastAsia="zh-CN"/>
        </w:rPr>
      </w:pPr>
      <w:r>
        <w:rPr>
          <w:rFonts w:hint="eastAsia" w:ascii="宋体" w:hAnsi="宋体" w:eastAsia="宋体"/>
          <w:b/>
          <w:bCs/>
          <w:color w:val="auto"/>
          <w:sz w:val="24"/>
          <w:highlight w:val="none"/>
          <w:lang w:val="en-US" w:eastAsia="zh-CN"/>
        </w:rPr>
        <w:t>四、报价要求</w:t>
      </w:r>
    </w:p>
    <w:p w14:paraId="4BF364D9">
      <w:pPr>
        <w:keepNext w:val="0"/>
        <w:keepLines w:val="0"/>
        <w:pageBreakBefore w:val="0"/>
        <w:widowControl w:val="0"/>
        <w:kinsoku/>
        <w:wordWrap/>
        <w:overflowPunct/>
        <w:topLinePunct w:val="0"/>
        <w:autoSpaceDE/>
        <w:autoSpaceDN/>
        <w:bidi w:val="0"/>
        <w:adjustRightInd w:val="0"/>
        <w:snapToGrid w:val="0"/>
        <w:spacing w:line="480" w:lineRule="exact"/>
        <w:ind w:firstLine="482" w:firstLineChars="200"/>
        <w:textAlignment w:val="auto"/>
        <w:outlineLvl w:val="9"/>
        <w:rPr>
          <w:rFonts w:hint="eastAsia" w:ascii="宋体" w:hAnsi="宋体" w:eastAsia="宋体"/>
          <w:b/>
          <w:bCs/>
          <w:color w:val="auto"/>
          <w:sz w:val="24"/>
          <w:highlight w:val="none"/>
          <w:lang w:val="en-US" w:eastAsia="zh-CN"/>
        </w:rPr>
      </w:pPr>
      <w:r>
        <w:rPr>
          <w:rFonts w:hint="eastAsia" w:ascii="宋体" w:hAnsi="宋体" w:eastAsia="宋体"/>
          <w:b/>
          <w:bCs/>
          <w:color w:val="auto"/>
          <w:sz w:val="24"/>
          <w:highlight w:val="none"/>
          <w:lang w:val="en-US" w:eastAsia="zh-CN"/>
        </w:rPr>
        <w:t>1.本项目为费率报价，最高限价：施工中标价*1%。报价费率高于最高限价的为无效报价，其响应文件将被认定为响应无效。</w:t>
      </w:r>
    </w:p>
    <w:p w14:paraId="413DADF6">
      <w:pPr>
        <w:keepNext w:val="0"/>
        <w:keepLines w:val="0"/>
        <w:pageBreakBefore w:val="0"/>
        <w:widowControl w:val="0"/>
        <w:kinsoku/>
        <w:wordWrap/>
        <w:overflowPunct/>
        <w:topLinePunct w:val="0"/>
        <w:autoSpaceDE/>
        <w:autoSpaceDN/>
        <w:bidi w:val="0"/>
        <w:adjustRightInd w:val="0"/>
        <w:snapToGrid w:val="0"/>
        <w:spacing w:line="480" w:lineRule="exact"/>
        <w:ind w:firstLine="482" w:firstLineChars="200"/>
        <w:textAlignment w:val="auto"/>
        <w:outlineLvl w:val="9"/>
        <w:rPr>
          <w:rFonts w:hint="eastAsia" w:ascii="宋体" w:hAnsi="宋体" w:eastAsia="宋体"/>
          <w:b/>
          <w:bCs/>
          <w:color w:val="auto"/>
          <w:sz w:val="24"/>
          <w:highlight w:val="none"/>
          <w:lang w:val="en-US" w:eastAsia="zh-CN"/>
        </w:rPr>
      </w:pPr>
      <w:r>
        <w:rPr>
          <w:rFonts w:hint="eastAsia" w:ascii="宋体" w:hAnsi="宋体" w:eastAsia="宋体"/>
          <w:b/>
          <w:bCs/>
          <w:color w:val="auto"/>
          <w:sz w:val="24"/>
          <w:highlight w:val="none"/>
          <w:lang w:val="en-US" w:eastAsia="zh-CN"/>
        </w:rPr>
        <w:t>报价费率保留二位小数(如*.**%)，小数点后第三位四舍五入。</w:t>
      </w:r>
    </w:p>
    <w:p w14:paraId="5D06582F">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 xml:space="preserve">2.报价包含满足本次采购需求的所有费用（包括但不限于：人工费、材料费、交通费、培训费、印刷费、管理费、保险、税金等）。报价由供应商依据现场实际情况，结合供应商自身技术和管理水平、经营状况、机械配备以及制定的监理大纲和磋商文件的有关要求自行报价。 </w:t>
      </w:r>
    </w:p>
    <w:p w14:paraId="60DB3F8B">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3.供应商须对目前市场因素、现场环境因素、社会因素等不确定因素对保证实现预定工期目标造成的风险费用做出估计，并包含在报价中，成交后不得以估计不足为由而提出任何增加监理服务价款或索赔要求。</w:t>
      </w:r>
    </w:p>
    <w:p w14:paraId="2283AFE3">
      <w:pPr>
        <w:keepNext w:val="0"/>
        <w:keepLines w:val="0"/>
        <w:pageBreakBefore w:val="0"/>
        <w:widowControl w:val="0"/>
        <w:kinsoku/>
        <w:wordWrap/>
        <w:overflowPunct/>
        <w:topLinePunct w:val="0"/>
        <w:autoSpaceDE/>
        <w:autoSpaceDN/>
        <w:bidi w:val="0"/>
        <w:adjustRightInd w:val="0"/>
        <w:snapToGrid w:val="0"/>
        <w:spacing w:line="480" w:lineRule="exact"/>
        <w:ind w:firstLine="482" w:firstLineChars="200"/>
        <w:textAlignment w:val="auto"/>
        <w:outlineLvl w:val="9"/>
        <w:rPr>
          <w:rFonts w:hint="eastAsia" w:ascii="宋体" w:hAnsi="宋体" w:eastAsia="宋体"/>
          <w:b/>
          <w:bCs/>
          <w:color w:val="auto"/>
          <w:sz w:val="24"/>
          <w:highlight w:val="none"/>
          <w:lang w:val="en-US" w:eastAsia="zh-CN"/>
        </w:rPr>
      </w:pPr>
      <w:r>
        <w:rPr>
          <w:rFonts w:hint="eastAsia" w:ascii="宋体" w:hAnsi="宋体" w:eastAsia="宋体"/>
          <w:b/>
          <w:bCs/>
          <w:color w:val="auto"/>
          <w:sz w:val="24"/>
          <w:highlight w:val="none"/>
          <w:lang w:val="en-US" w:eastAsia="zh-CN"/>
        </w:rPr>
        <w:t>五、其他要求</w:t>
      </w:r>
    </w:p>
    <w:p w14:paraId="2E685FBE">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default"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1.监理单位在没有取得建设单位同意前，不允许办理任何经济签证。</w:t>
      </w:r>
    </w:p>
    <w:p w14:paraId="13B9BF20">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2.采购人对监理人的授权：监理人有权在本项目监理合同范围内根据《建设工程监理规范》（GB/T 50319-2013）和采购人相关文件进行行使与监理工作有关的权利。</w:t>
      </w:r>
    </w:p>
    <w:p w14:paraId="40C95933">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3.本工程监理人员应严格按照施工图纸、现行法律法规及规范标准的要求开展监理工作，充分运用旁站、巡视、平行检验等手段，严格工程施工安全质量管控；运用现代化的管理工具（数码设备、检测、测量工器具等）确保工程安全质量“可控、在控、受控”。通过有效的监理管控手段，使工程监理在工程建设中的“四控、两管、一协调”落到实处，主要有以下几点：</w:t>
      </w:r>
    </w:p>
    <w:p w14:paraId="4B1B2387">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（1）现场记录：成交供应商认真、完整记录每日施工现场的人员、设备和材料、天气、施工环境以及施工中出现的各种情况；</w:t>
      </w:r>
    </w:p>
    <w:p w14:paraId="2924B7EC">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（2）发布文件：成交供应商采用通知、指示、批复、签认等文件形式进行施工全过程的控制和管理；</w:t>
      </w:r>
    </w:p>
    <w:p w14:paraId="59CE4FB7">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（3）旁站监理：成交供应商按照合同约定，在施工现场对工程项目的重要部位和关键工序的施工，实施连续性的全过程检查、监督与管理；</w:t>
      </w:r>
    </w:p>
    <w:p w14:paraId="137B233F">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（4）巡视检验：成交供应商对所监理的工程项目进行定期或不定期的检查、监督和管理；</w:t>
      </w:r>
    </w:p>
    <w:p w14:paraId="719352EB">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5）跟踪检测：在施工单位进行试样检测前，成交供应商对其检测人员、仪器设备以及拟订的检测程序和方法进行审核；在施工单位进行对试样进行检测时，实施全过程的监督，确认其程序、方法的有效性以及检测结果的可信性，并对该结果确认；</w:t>
      </w:r>
    </w:p>
    <w:p w14:paraId="4E5613F5">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（6）平行检测：成交供应商在施工单位对试样自行检测的同时，独立抽样进行的检测，核验施工单位的监测结果；</w:t>
      </w:r>
    </w:p>
    <w:p w14:paraId="01679AB5">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（7）协调：成交供应商对参加工程建设各方之间的关系以及工程施工过程中出现的问题和争议进行的调解。</w:t>
      </w:r>
    </w:p>
    <w:p w14:paraId="1A038DCF">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4.工程资料文档的收集、整理：</w:t>
      </w:r>
    </w:p>
    <w:p w14:paraId="702775CC">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（1）建立档案管理制度，编制档案管理计划。</w:t>
      </w:r>
    </w:p>
    <w:p w14:paraId="51A28A64">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（2）进行工程档案资料的收集、整编、归档及移交工作，需满足档案验收的要求。</w:t>
      </w:r>
    </w:p>
    <w:p w14:paraId="50D594D2">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（3）档案管理应标准化、规范化，满足国家相关规定。</w:t>
      </w:r>
    </w:p>
    <w:p w14:paraId="154D9A1D">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5.监理考核管理规定：</w:t>
      </w:r>
    </w:p>
    <w:p w14:paraId="1AEA05A9">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（1）现场监理人员不得随意脱岗，否则经查属实，处以100元∕人.次罚款。</w:t>
      </w:r>
    </w:p>
    <w:p w14:paraId="0B3D2697">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（2）现场材料进场时应严格把关，造成使用材料质量不符合相关规定的，处以500-1000元∕次罚款。</w:t>
      </w:r>
    </w:p>
    <w:p w14:paraId="6179B120">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3）未履行监理人员职责进行日常巡查，放松现场工程质量管理，造成工程存在质量隐患或出现较大质量安全隐患未及时发现并处理的，处以1000-10000元∕次罚款。出现重大质量安全事故的除依据国家相关法律严肃处理外，相关行政主管部门将依照相关文件给予记不良记录或黑名单处罚。</w:t>
      </w:r>
    </w:p>
    <w:p w14:paraId="12DD72F2">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（4）检验批检查验收不及时，无签字、无记录的，处以200-500元∕次罚款。</w:t>
      </w:r>
    </w:p>
    <w:p w14:paraId="6A32EFD2">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（5）监理日志记录不及时、不详或不实的，处以200-500元∕次罚款。</w:t>
      </w:r>
    </w:p>
    <w:p w14:paraId="6C13FF68">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（6）工程重点部位、重点工序无旁站或无记录的，处以200-500元∕次罚款。</w:t>
      </w:r>
    </w:p>
    <w:p w14:paraId="5315F87C">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（7）工程量及经济签证计量、审核不准确或错误的，处以500-1000元∕次罚款。</w:t>
      </w:r>
    </w:p>
    <w:p w14:paraId="6BBDA201">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（8）人员配备不到位或未经甲方许可擅自更换人员的，严格按合同约定予以处罚。</w:t>
      </w:r>
    </w:p>
    <w:p w14:paraId="62118564">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（9）进度计划与实际进度偏差较大，未督促完成的，处以500元∕次罚款。</w:t>
      </w:r>
    </w:p>
    <w:p w14:paraId="00A2FAB4">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（10）监理规划、实施细则未及时编制、审核，各项施工方案未及时审批，处以500-1000元∕次罚款。</w:t>
      </w:r>
    </w:p>
    <w:p w14:paraId="38A94ED1">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（11）未及时组织监理例会工作，处以1000元∕次罚款。</w:t>
      </w:r>
    </w:p>
    <w:p w14:paraId="09F2B6A7">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12）关于总监理工程师每月在施工现场的时间要求：总监理工程师应常驻施工现场，且每月在施工现场时间不得少于26天。总监理工程师确需离开施工现场时，应事先通知建设单位，并取得建设单位的书面同意。</w:t>
      </w:r>
    </w:p>
    <w:p w14:paraId="735BFB6A">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13）总监理工程师未经批准，擅自离开施工现场的违约责任：总监理工程师要常驻施工现场，离开现场的须经建设单位同意，并书面指定临时代表，代为行使总监理工程师权利，该临时代表的一切行为均认为是总监理工程师的行为。未经建设单位批准，擅自离开施工现场，一经发现，每次扣罚1000元，工程建设期间发生三次以上（不含三次），建设单位有权终止合同、履约保证金不予退还。</w:t>
      </w:r>
    </w:p>
    <w:p w14:paraId="0841B3F4">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（14）承包人擅自更换总监理工程师的违约责任：须提前14天通知建设单位，并征得建设单位的书面同意，更换后的总监理工程师资历、水平不得降低。擅自更换总监理工程师将对承包人处以5000元违约金处罚。</w:t>
      </w:r>
    </w:p>
    <w:p w14:paraId="7FE1AC17">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（15）承包人无正当理由拒绝更换总监理工程师的违约责任：将对承包人处以5000元违约金处罚。</w:t>
      </w:r>
    </w:p>
    <w:p w14:paraId="2CF70B78">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（16）承包人擅自更换主要监理管理人员的违约责任：将对承包人处以警告处罚，情节严重处以2000元违约金处罚，直至解除合同。</w:t>
      </w:r>
    </w:p>
    <w:p w14:paraId="58769D8D">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（17）监理人需严格执行国家、安徽省、铜陵市发布的各项相关文件要求，履行监理单位责任义务。</w:t>
      </w:r>
    </w:p>
    <w:p w14:paraId="080E929E">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6.监理工作内容及要求：</w:t>
      </w:r>
    </w:p>
    <w:p w14:paraId="6CDC8434">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根据与采购人签订的合同，工程监理工作为在施工过程中对工程质量、进度、投资、安全、合同、信息进行监督管理及协调工作，工程的监理具体工作内容如下：</w:t>
      </w:r>
    </w:p>
    <w:p w14:paraId="11E06956">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1）根据施工图的设计和概（预）算，协助采购人组织施工图设计交底、图纸会审，做好记录，形成图纸会审纪要。</w:t>
      </w:r>
    </w:p>
    <w:p w14:paraId="5383119C">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2）协助采购人做好开工准备，编制开工报告，签发开工令，复核定位放线。</w:t>
      </w:r>
    </w:p>
    <w:p w14:paraId="22FBBC47">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3）审核施工单位的施工管理体系、安全管理体系、施工组织设计（重点审查其中的质量安全技术措施、专项施工方案与工程建设强制性标准的符合性）、专项施工方案、施工进度计划等。</w:t>
      </w:r>
    </w:p>
    <w:p w14:paraId="4F6E1D11">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4）督促、检查施工单位严格执行工程合同和国家工程技术规范、标准，协调采购人和施工单位的关系。</w:t>
      </w:r>
    </w:p>
    <w:p w14:paraId="594C0E4E">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5）熟悉工程设计文件，参加施工图交底、配合设计变更的签证及负责施工现场签证。</w:t>
      </w:r>
    </w:p>
    <w:p w14:paraId="589D33B4">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6）检查施工单位工程质量、安全生产管理制度及组织机构和人员资格；检查施工单位专职安全生产管理人员的配备情况。</w:t>
      </w:r>
    </w:p>
    <w:p w14:paraId="4D202DBD">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7）审核施工分包单位资质条件；查施工单位报送的工程材料、构配件、设备质量证明文件的有效性和符合性，并按规定对用于工程的材料采取平行检验或见证取样方式进行抽检；</w:t>
      </w:r>
    </w:p>
    <w:p w14:paraId="44831B6D">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8）在巡视、旁站和检验过程中，发现工程质量、施工安全存在事故隐患的，要求施工单位整改并报采购人；</w:t>
      </w:r>
    </w:p>
    <w:p w14:paraId="71F7885B">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9）审查施工单位提交的采用新材料、新工艺、新技术、新设备的论证材料及相关验收标准；</w:t>
      </w:r>
    </w:p>
    <w:p w14:paraId="6E72FF59">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10）组织和参加定期召开的工地例会并做好纪要，调解有关工程建设各种合同的有关争议，协助采购人处理索赔事项。</w:t>
      </w:r>
    </w:p>
    <w:p w14:paraId="404D974A">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11）督促、检查施工单位落实施工安全技术措施；组织检查并监督控制工程质量。组织分项工程和隐蔽工程的检查、验收。</w:t>
      </w:r>
    </w:p>
    <w:p w14:paraId="56444E5B">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12）审核施工合同文件，审查技术档案资料及竣工验收资料。</w:t>
      </w:r>
    </w:p>
    <w:p w14:paraId="10467778">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13）及时提供完整的监理档案，定期编制监理报告。</w:t>
      </w:r>
    </w:p>
    <w:p w14:paraId="3997DA7C">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14）参加工程交竣工验收，签署交竣工验收意见。</w:t>
      </w:r>
    </w:p>
    <w:p w14:paraId="6CF7646C">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15）负责检查保修阶段的工程状况，督促施工单位回访，督促保修直达到规定的质量标准。</w:t>
      </w:r>
    </w:p>
    <w:sectPr>
      <w:pgSz w:w="11906" w:h="16838"/>
      <w:pgMar w:top="1474" w:right="1474" w:bottom="1474" w:left="1474"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04B28F8"/>
    <w:rsid w:val="0B000ED5"/>
    <w:rsid w:val="2487019D"/>
    <w:rsid w:val="704B28F8"/>
    <w:rsid w:val="73F10F58"/>
    <w:rsid w:val="77ED7012"/>
    <w:rsid w:val="7DB83B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hAnsi="@仿宋_GB2312" w:eastAsia="@仿宋_GB2312" w:cs="@仿宋_GB2312"/>
      <w:kern w:val="2"/>
      <w:sz w:val="21"/>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header"/>
    <w:basedOn w:val="1"/>
    <w:unhideWhenUsed/>
    <w:qFormat/>
    <w:uiPriority w:val="0"/>
    <w:pPr>
      <w:pBdr>
        <w:bottom w:val="single" w:color="auto" w:sz="6" w:space="1"/>
      </w:pBdr>
      <w:tabs>
        <w:tab w:val="center" w:pos="4153"/>
        <w:tab w:val="right" w:pos="8306"/>
      </w:tabs>
      <w:snapToGrid w:val="0"/>
      <w:jc w:val="center"/>
    </w:pPr>
    <w:rPr>
      <w:sz w:val="18"/>
      <w:szCs w:val="18"/>
    </w:rPr>
  </w:style>
  <w:style w:type="paragraph" w:customStyle="1" w:styleId="5">
    <w:name w:val="D&amp;L"/>
    <w:basedOn w:val="2"/>
    <w:autoRedefine/>
    <w:qFormat/>
    <w:uiPriority w:val="0"/>
    <w:pPr>
      <w:pBdr>
        <w:bottom w:val="thinThickSmallGap" w:color="auto" w:sz="18" w:space="1"/>
      </w:pBdr>
      <w:adjustRightInd w:val="0"/>
      <w:snapToGrid/>
      <w:spacing w:line="240" w:lineRule="atLeast"/>
      <w:textAlignment w:val="baseline"/>
    </w:pPr>
    <w:rPr>
      <w:kern w:val="0"/>
      <w:sz w:val="24"/>
      <w:szCs w:val="20"/>
    </w:rPr>
  </w:style>
  <w:style w:type="paragraph" w:customStyle="1" w:styleId="6">
    <w:name w:val="xl31"/>
    <w:basedOn w:val="1"/>
    <w:autoRedefine/>
    <w:qFormat/>
    <w:uiPriority w:val="0"/>
    <w:pPr>
      <w:widowControl/>
      <w:spacing w:before="100" w:beforeAutospacing="1" w:after="100" w:afterAutospacing="1"/>
      <w:jc w:val="center"/>
    </w:pPr>
    <w:rPr>
      <w:b/>
      <w:bCs/>
      <w:kern w:val="0"/>
      <w:sz w:val="28"/>
      <w:szCs w:val="2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820</Words>
  <Characters>841</Characters>
  <Lines>0</Lines>
  <Paragraphs>0</Paragraphs>
  <TotalTime>0</TotalTime>
  <ScaleCrop>false</ScaleCrop>
  <LinksUpToDate>false</LinksUpToDate>
  <CharactersWithSpaces>842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2026-09-18T07:11:00Z</dcterms:created>
  <dc:creator>焱</dc:creator>
  <cp:lastModifiedBy>焱</cp:lastModifiedBy>
  <dcterms:modified xsi:type="dcterms:W3CDTF">2026-09-29T07:07:12Z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DE1832AC48F7473AB0F400CF1A6DA482_13</vt:lpwstr>
  </property>
  <property fmtid="{D5CDD505-2E9C-101B-9397-08002B2CF9AE}" pid="4" name="KSOTemplateDocerSaveRecord">
    <vt:lpwstr>eyJoZGlkIjoiMzZlMjBmOWUyMThhNzQ2YjY4OGI1YzcwMWQ5MzFiN2MiLCJ1c2VySWQiOiI0NDg3MDY3NDkifQ==</vt:lpwstr>
  </property>
</Properties>
</file>