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01554">
      <w:pPr>
        <w:keepNext w:val="0"/>
        <w:keepLines w:val="0"/>
        <w:pageBreakBefore w:val="0"/>
        <w:widowControl w:val="0"/>
        <w:kinsoku w:val="0"/>
        <w:wordWrap/>
        <w:overflowPunct w:val="0"/>
        <w:topLinePunct w:val="0"/>
        <w:autoSpaceDE w:val="0"/>
        <w:autoSpaceDN w:val="0"/>
        <w:bidi w:val="0"/>
        <w:adjustRightInd/>
        <w:snapToGrid/>
        <w:spacing w:line="360" w:lineRule="auto"/>
        <w:jc w:val="center"/>
        <w:textAlignment w:val="auto"/>
        <w:outlineLvl w:val="9"/>
        <w:rPr>
          <w:rFonts w:asciiTheme="minorEastAsia" w:hAnsiTheme="minorEastAsia" w:eastAsiaTheme="minorEastAsia"/>
          <w:b/>
          <w:spacing w:val="0"/>
          <w:position w:val="0"/>
          <w:sz w:val="28"/>
        </w:rPr>
      </w:pPr>
      <w:bookmarkStart w:id="0" w:name="_Toc19440"/>
      <w:r>
        <w:rPr>
          <w:rFonts w:hint="eastAsia" w:asciiTheme="minorEastAsia" w:hAnsiTheme="minorEastAsia" w:eastAsiaTheme="minorEastAsia"/>
          <w:b/>
          <w:spacing w:val="0"/>
          <w:position w:val="0"/>
          <w:sz w:val="28"/>
        </w:rPr>
        <w:t>采购需求</w:t>
      </w:r>
      <w:bookmarkEnd w:id="0"/>
    </w:p>
    <w:p w14:paraId="3EF1399B">
      <w:pPr>
        <w:keepNext w:val="0"/>
        <w:keepLines w:val="0"/>
        <w:pageBreakBefore w:val="0"/>
        <w:widowControl w:val="0"/>
        <w:kinsoku w:val="0"/>
        <w:wordWrap/>
        <w:overflowPunct w:val="0"/>
        <w:topLinePunct w:val="0"/>
        <w:autoSpaceDE w:val="0"/>
        <w:autoSpaceDN w:val="0"/>
        <w:bidi w:val="0"/>
        <w:adjustRightInd/>
        <w:snapToGrid/>
        <w:spacing w:line="480" w:lineRule="exact"/>
        <w:textAlignment w:val="auto"/>
        <w:outlineLvl w:val="9"/>
        <w:rPr>
          <w:rFonts w:asciiTheme="minorEastAsia" w:hAnsiTheme="minorEastAsia" w:eastAsiaTheme="minorEastAsia"/>
          <w:b/>
          <w:spacing w:val="0"/>
          <w:position w:val="0"/>
          <w:sz w:val="24"/>
        </w:rPr>
      </w:pPr>
      <w:r>
        <w:rPr>
          <w:rFonts w:hint="eastAsia" w:asciiTheme="minorEastAsia" w:hAnsiTheme="minorEastAsia" w:eastAsiaTheme="minorEastAsia"/>
          <w:b/>
          <w:spacing w:val="0"/>
          <w:position w:val="0"/>
          <w:sz w:val="24"/>
        </w:rPr>
        <w:t>前注：</w:t>
      </w:r>
    </w:p>
    <w:p w14:paraId="5D2FB98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1.本采购需求中提出的服务方案仅为参考，如无明确限制，供应商可以进行优化，提供满足采购人实际需要的更优（或者性能实质上不低于的）服务方案，且此方案须经磋商小组评审认可。</w:t>
      </w:r>
    </w:p>
    <w:p w14:paraId="700F2B7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2.下列采购需求中（包括但不限于下列具体政策要求）：</w:t>
      </w:r>
    </w:p>
    <w:p w14:paraId="610D0A3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14:paraId="3A5A292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（2）如涉及商品包装和快递包装，供应商应当执行《关于印发〈商品包装政府采购需求标准（试行）〉、〈快递包装政府采购需求标准（试行）〉的通知》（财办库〔2020〕123 号）、《安徽省财政厅关于贯彻落实政府绿色采购有关政策的通知》（皖财购〔2023〕853号）的要求，提供符合需求标准的绿色包装、绿色运输，同时，采购人将对包装材料和运输环节作为履约验收条款进行验收。</w:t>
      </w:r>
      <w:bookmarkStart w:id="1" w:name="_Toc26349"/>
      <w:bookmarkStart w:id="2" w:name="_Toc7699"/>
    </w:p>
    <w:p w14:paraId="4C1D000D">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rPr>
      </w:pPr>
      <w:r>
        <w:rPr>
          <w:rFonts w:hint="eastAsia" w:ascii="宋体" w:hAnsi="宋体" w:eastAsia="宋体"/>
          <w:b/>
          <w:spacing w:val="0"/>
          <w:position w:val="0"/>
          <w:sz w:val="24"/>
        </w:rPr>
        <w:t>一、采购需求前附表</w:t>
      </w:r>
      <w:bookmarkEnd w:id="1"/>
      <w:bookmarkEnd w:id="2"/>
    </w:p>
    <w:tbl>
      <w:tblPr>
        <w:tblStyle w:val="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2187"/>
        <w:gridCol w:w="5903"/>
      </w:tblGrid>
      <w:tr w14:paraId="168A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1" w:type="pct"/>
            <w:vAlign w:val="center"/>
          </w:tcPr>
          <w:p w14:paraId="3AC0178E">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
                <w:spacing w:val="0"/>
                <w:kern w:val="2"/>
                <w:position w:val="0"/>
              </w:rPr>
            </w:pPr>
            <w:bookmarkStart w:id="3" w:name="_Hlk16461016"/>
            <w:r>
              <w:rPr>
                <w:rFonts w:hint="eastAsia" w:ascii="宋体" w:hAnsi="宋体" w:eastAsia="宋体"/>
                <w:b/>
                <w:spacing w:val="0"/>
                <w:kern w:val="2"/>
                <w:position w:val="0"/>
              </w:rPr>
              <w:t>序号</w:t>
            </w:r>
          </w:p>
        </w:tc>
        <w:tc>
          <w:tcPr>
            <w:tcW w:w="1192" w:type="pct"/>
            <w:vAlign w:val="center"/>
          </w:tcPr>
          <w:p w14:paraId="62698FD7">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position w:val="0"/>
              </w:rPr>
            </w:pPr>
            <w:r>
              <w:rPr>
                <w:rFonts w:hint="eastAsia" w:ascii="宋体" w:hAnsi="宋体" w:eastAsia="宋体"/>
                <w:b/>
                <w:spacing w:val="0"/>
                <w:kern w:val="2"/>
                <w:position w:val="0"/>
              </w:rPr>
              <w:t>条款名称</w:t>
            </w:r>
          </w:p>
        </w:tc>
        <w:tc>
          <w:tcPr>
            <w:tcW w:w="3217" w:type="pct"/>
            <w:vAlign w:val="center"/>
          </w:tcPr>
          <w:p w14:paraId="4B9CF764">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position w:val="0"/>
              </w:rPr>
            </w:pPr>
            <w:r>
              <w:rPr>
                <w:rFonts w:hint="eastAsia" w:ascii="宋体" w:hAnsi="宋体" w:eastAsia="宋体"/>
                <w:b/>
                <w:spacing w:val="0"/>
                <w:kern w:val="2"/>
                <w:position w:val="0"/>
              </w:rPr>
              <w:t>内容、说明与要求</w:t>
            </w:r>
          </w:p>
        </w:tc>
      </w:tr>
      <w:tr w14:paraId="305C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591" w:type="pct"/>
            <w:vAlign w:val="center"/>
          </w:tcPr>
          <w:p w14:paraId="318EB5AC">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1</w:t>
            </w:r>
          </w:p>
        </w:tc>
        <w:tc>
          <w:tcPr>
            <w:tcW w:w="1192" w:type="pct"/>
            <w:vAlign w:val="center"/>
          </w:tcPr>
          <w:p w14:paraId="7793D384">
            <w:pPr>
              <w:pStyle w:val="6"/>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付款方式</w:t>
            </w:r>
          </w:p>
        </w:tc>
        <w:tc>
          <w:tcPr>
            <w:tcW w:w="5903" w:type="dxa"/>
            <w:vAlign w:val="center"/>
          </w:tcPr>
          <w:p w14:paraId="32D01700">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both"/>
              <w:textAlignment w:val="auto"/>
              <w:rPr>
                <w:rFonts w:hint="eastAsia" w:ascii="宋体" w:hAnsi="宋体" w:eastAsia="宋体"/>
                <w:b w:val="0"/>
                <w:spacing w:val="0"/>
                <w:position w:val="0"/>
                <w:sz w:val="24"/>
                <w:u w:val="single"/>
                <w:lang w:eastAsia="zh-CN"/>
              </w:rPr>
            </w:pPr>
            <w:r>
              <w:rPr>
                <w:rFonts w:hint="eastAsia" w:ascii="宋体" w:hAnsi="宋体" w:eastAsia="宋体" w:cs="宋体"/>
                <w:color w:val="auto"/>
                <w:kern w:val="0"/>
                <w:sz w:val="24"/>
                <w:szCs w:val="24"/>
                <w:lang w:val="en-US" w:eastAsia="zh-CN" w:bidi="ar"/>
              </w:rPr>
              <w:t>本工程竣工验收合格、结算审计完成并出具审计报告后7个工作日内一次性付清。</w:t>
            </w:r>
          </w:p>
        </w:tc>
      </w:tr>
      <w:tr w14:paraId="26C3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5EF0D570">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2</w:t>
            </w:r>
          </w:p>
        </w:tc>
        <w:tc>
          <w:tcPr>
            <w:tcW w:w="1192" w:type="pct"/>
            <w:vAlign w:val="center"/>
          </w:tcPr>
          <w:p w14:paraId="5BAB37D1">
            <w:pPr>
              <w:pStyle w:val="6"/>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服务地点</w:t>
            </w:r>
          </w:p>
        </w:tc>
        <w:tc>
          <w:tcPr>
            <w:tcW w:w="5903" w:type="dxa"/>
            <w:vAlign w:val="center"/>
          </w:tcPr>
          <w:p w14:paraId="0B9E85CB">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zh-CN" w:bidi="ar"/>
              </w:rPr>
              <w:t>枞阳县人民医院</w:t>
            </w:r>
          </w:p>
        </w:tc>
      </w:tr>
      <w:tr w14:paraId="497E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52236B5D">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3</w:t>
            </w:r>
          </w:p>
        </w:tc>
        <w:tc>
          <w:tcPr>
            <w:tcW w:w="1192" w:type="pct"/>
            <w:vAlign w:val="center"/>
          </w:tcPr>
          <w:p w14:paraId="3233D16B">
            <w:pPr>
              <w:pStyle w:val="6"/>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服务期限</w:t>
            </w:r>
          </w:p>
        </w:tc>
        <w:tc>
          <w:tcPr>
            <w:tcW w:w="5903" w:type="dxa"/>
            <w:vAlign w:val="center"/>
          </w:tcPr>
          <w:p w14:paraId="142A2864">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zh-CN" w:bidi="ar"/>
              </w:rPr>
              <w:t>自监理合同签订之日起至缺陷责任期期满止。</w:t>
            </w:r>
          </w:p>
        </w:tc>
      </w:tr>
      <w:tr w14:paraId="1DE8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270F0629">
            <w:pPr>
              <w:pStyle w:val="5"/>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4</w:t>
            </w:r>
          </w:p>
        </w:tc>
        <w:tc>
          <w:tcPr>
            <w:tcW w:w="1192" w:type="pct"/>
            <w:vAlign w:val="center"/>
          </w:tcPr>
          <w:p w14:paraId="6732B5E4">
            <w:pPr>
              <w:pStyle w:val="6"/>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本项目采购标的名称及所属行业</w:t>
            </w:r>
          </w:p>
        </w:tc>
        <w:tc>
          <w:tcPr>
            <w:tcW w:w="5903" w:type="dxa"/>
            <w:vAlign w:val="center"/>
          </w:tcPr>
          <w:p w14:paraId="52E5F2A2">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color w:val="auto"/>
                <w:kern w:val="0"/>
                <w:sz w:val="24"/>
                <w:szCs w:val="24"/>
                <w:lang w:val="en-US" w:eastAsia="en-US" w:bidi="ar"/>
              </w:rPr>
            </w:pPr>
            <w:r>
              <w:rPr>
                <w:rFonts w:hint="eastAsia" w:ascii="宋体" w:hAnsi="宋体" w:eastAsia="宋体" w:cs="宋体"/>
                <w:color w:val="auto"/>
                <w:kern w:val="0"/>
                <w:sz w:val="24"/>
                <w:szCs w:val="24"/>
                <w:lang w:val="en-US" w:eastAsia="en-US" w:bidi="ar"/>
              </w:rPr>
              <w:t>标的名称：</w:t>
            </w:r>
            <w:r>
              <w:rPr>
                <w:rFonts w:hint="eastAsia" w:ascii="宋体" w:hAnsi="宋体" w:eastAsia="宋体" w:cs="宋体"/>
                <w:color w:val="auto"/>
                <w:kern w:val="0"/>
                <w:sz w:val="24"/>
                <w:szCs w:val="24"/>
                <w:lang w:val="en-US" w:eastAsia="zh-CN" w:bidi="ar"/>
              </w:rPr>
              <w:t>枞阳县人民医院医共体服务能力提升项目外科大楼重症监护病房及连廊工程监理服务</w:t>
            </w:r>
          </w:p>
          <w:p w14:paraId="2A7BD453">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en-US" w:bidi="ar"/>
              </w:rPr>
              <w:t>所属行业：</w:t>
            </w:r>
            <w:r>
              <w:rPr>
                <w:rFonts w:hint="eastAsia" w:ascii="宋体" w:hAnsi="宋体" w:eastAsia="宋体" w:cs="宋体"/>
                <w:color w:val="auto"/>
                <w:kern w:val="0"/>
                <w:sz w:val="24"/>
                <w:szCs w:val="24"/>
                <w:lang w:val="en-US" w:eastAsia="zh-CN" w:bidi="ar"/>
              </w:rPr>
              <w:t>其他未列明行业</w:t>
            </w:r>
          </w:p>
        </w:tc>
      </w:tr>
      <w:bookmarkEnd w:id="3"/>
    </w:tbl>
    <w:p w14:paraId="11AD2002">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eastAsia="en-US"/>
        </w:rPr>
      </w:pPr>
      <w:r>
        <w:rPr>
          <w:rFonts w:hint="eastAsia" w:ascii="宋体" w:hAnsi="宋体" w:eastAsia="宋体"/>
          <w:b/>
          <w:spacing w:val="0"/>
          <w:position w:val="0"/>
          <w:sz w:val="24"/>
          <w:lang w:eastAsia="zh-CN"/>
        </w:rPr>
        <w:t>二、</w:t>
      </w:r>
      <w:r>
        <w:rPr>
          <w:rFonts w:hint="eastAsia" w:ascii="宋体" w:hAnsi="宋体" w:eastAsia="宋体"/>
          <w:b/>
          <w:spacing w:val="0"/>
          <w:position w:val="0"/>
          <w:sz w:val="24"/>
          <w:lang w:eastAsia="en-US"/>
        </w:rPr>
        <w:t>项目概况</w:t>
      </w:r>
    </w:p>
    <w:p w14:paraId="172BD24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建设规模：枞阳县人民医院医共体服务能力提升项目外科大楼重症监护病房及连廊工程，外科大楼重症监护病房建筑面积约1400平方米，主要建设内容为重症监护病房的洁净装饰和改造、水电暖和消防工程的改造安装以及医用气体安装等，涉及医用气密门、医疗专用灯、气体终端、医气系统、医疗设备带、吊塔等安装，满足重症监护病房气流组织等院感控制等要求，具体见施工图纸；项目地点为枞阳县人民医院外科综合大楼四楼，建设场地现状为大空间，并按照大空间的布置进行消防工程安装。连廊工程为外科大楼与内科大楼之间新建一层连廊，建筑面积约294.22㎡，具体详见施工图纸。</w:t>
      </w:r>
    </w:p>
    <w:p w14:paraId="60ECF49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2.工程监理内容：上述工程施工及缺陷责任期全过程监理，含建设工程项目施工前期准备阶段及施工阶段的质量、进度、投资控制和安全、合同、信息管理及各参建方协调等监理及后续服务工作。</w:t>
      </w:r>
    </w:p>
    <w:p w14:paraId="5EE525D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工程监理范围：本次监理工程主要范围为上述工程施工及缺陷责任期全过程监理。在项目实施中如有增减项，成交供应商的服务内容则相应予以增加或减少，并作为本次招标的组成部分，费用为包干价，不因工程量增减、工期延期而调整。</w:t>
      </w:r>
    </w:p>
    <w:p w14:paraId="2200CEF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工程监理具体内容详见施工设计图内容和有关说明。</w:t>
      </w:r>
    </w:p>
    <w:p w14:paraId="651444E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工程质量监理及检查验收标准、采购人的项目实施目标、拟采用的具体项目控制手段：本工程以工程施工设计图纸、图纸会审记录、设计变更通知书、技术联系单、各类试验报告、产品合格证书等有关资料和合同规定的条款为依据，按国家颁布的工程施工验收规范及监理大纲进行监理、检查、验收。</w:t>
      </w:r>
    </w:p>
    <w:p w14:paraId="5F378F3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承诺提供正常监理服务以外其他的相关服务，包括但不限于配合采购人办理报建、报批、报审、施工招标过程的技术服务、施工图设计文件复核、施工合同的拟定、洽谈以及施工许可证申请办理、工程现场前期的准备工作、设计协调、竣工验收、工程结算初审、工程备案以及工期控制等全过程服务。</w:t>
      </w:r>
    </w:p>
    <w:p w14:paraId="0F0E5D8C">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三、对供应商的要求</w:t>
      </w:r>
    </w:p>
    <w:p w14:paraId="5C0E92B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1.供应商资质及本工程拟任总监、监理工程师资质要求：详见磋商文件要求。</w:t>
      </w:r>
    </w:p>
    <w:p w14:paraId="3416236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2.供应商在本地区没有被限制、取消投标资格或禁止进入本地区建设市场且处于有效期的行政处罚，具备相应监理技术装备及监理技术。</w:t>
      </w:r>
    </w:p>
    <w:p w14:paraId="5202242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3.各供应商必须按本工程的特点，认真阅读磋商文件内容，按照磋商文件要求编写响应文件，其内容必须详尽。</w:t>
      </w:r>
    </w:p>
    <w:p w14:paraId="1538553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4.供应商须具备保证施工质量的监理管理体系。</w:t>
      </w:r>
    </w:p>
    <w:p w14:paraId="73D2CD1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5.供应商在本工程中配备的总监及监理工程师，须具有丰富的监理经验、身体健康、年龄适中、有良好职业道德的专职人员。总监理工程师必须具备国家注册监理工程师执业资格。</w:t>
      </w:r>
    </w:p>
    <w:p w14:paraId="6FAEC12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6.承担本项目监理的监理机构须进驻现场，总监理工程师必须常驻现场，所有监理人员出勤率为100%（含总监），项目监理机构关键岗位人员必须符合住房城乡建设部及安徽省相关标准规定，否则根据相关规定予以处理，直至清退出场。</w:t>
      </w:r>
    </w:p>
    <w:p w14:paraId="43FBB3D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7.在建设过程中，成交供应商必须按磋商时承诺配备的人员及时到位。未经采购人同意，成交供应商不得擅自更换磋商时所报总监理工程师及其他监理人员。根据现场施工情况，保证监理人员每天到场数量，采购人有权根据监理现场人员到位情况，要求其增加专业人员，监理单位必须服从，否则，视同成交供应商违约，采购人有权中止合同履行。</w:t>
      </w:r>
    </w:p>
    <w:p w14:paraId="47F09D0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8.因监理原因造成工程质量缺陷、进度滞后、工期延误，给委托人造成损失的，委托人有权在监理合同价款中扣除相关损失费用。</w:t>
      </w:r>
    </w:p>
    <w:p w14:paraId="41ADAFA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9.成交供应商应及时安排专业人员负责本项目的工程量形象进度审核工作，向委托人提交监理工作月报及监理业务范围内的专项报告。</w:t>
      </w:r>
    </w:p>
    <w:p w14:paraId="7CD4D45E">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10.对供应商人员的最低配备要求：</w:t>
      </w:r>
    </w:p>
    <w:p w14:paraId="06CFE88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①拟派总监理工程师：1人，具有房屋建筑工程专业国家监理工程师注册证书。</w:t>
      </w:r>
    </w:p>
    <w:p w14:paraId="44F7D18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注：响应文件中提供拟派总监注册证书（注册执业证书中聘用企业名称必须与供应商企业名称一致）及自磋商响应截止时间前三个月内任意一个月供应商（或供应商不具备独立法人资格的分支机构）所属社保机构为其缴纳的社保缴费证明（或其他能够证明其参加社保的有效证明材料）。拟派项目总监如为退休人员的，应符合国家法律法规关于从业人员执业年龄的规定，同时响应文件中须提供拟派退休人员身份证、退休证及供应商企业聘用合同（劳务合同）。</w:t>
      </w:r>
    </w:p>
    <w:p w14:paraId="23BA9FD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②拟派专业监理工程师：2人。</w:t>
      </w:r>
    </w:p>
    <w:p w14:paraId="1C99390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③拟派监理员：2人（根据安徽省住房和城乡建设厅《关于调整招标投标活动中有关住房城乡建设领域现场专业人员证书要求的通知》（建市函〔2019〕1112号）要求，不再要求将住房城乡建设领域监理员持证情况列入招标投标文件。成交供应商和采购人在签订合同时应按照不低于本表监理员配置的要求填写承包人主要人员表，并作为合同的附件之一）。响应文件中无须提供监理员证明材料。</w:t>
      </w:r>
    </w:p>
    <w:p w14:paraId="21E3366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注：以上人员不得兼任，所列监理人员配额为响应时须提供的最低专业人数要求；施工过程中，成交供应商项目监理机构关键岗位人员须符合住房城乡建设部及安徽省相关标准规定，配置满足工程项目监理工作进展需要人数，且应专业配套。</w:t>
      </w:r>
    </w:p>
    <w:p w14:paraId="5814990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成交供应商不得擅自更换响应文件中所报总监理工程师、专业监理工程师,否则采购人有权解除合同，由此造成的损失由成交供应商自行承担。确需更换的须在签订合同后，报经采购人同意后按相关规定办理。更换后的人员不得低于承包人响应时所报人员资质和技术水平。</w:t>
      </w:r>
    </w:p>
    <w:p w14:paraId="18051EC3">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四、报价要求</w:t>
      </w:r>
    </w:p>
    <w:p w14:paraId="4BF364D9">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1.本项目为费率报价，最高限价：施工中标价*1%。报价费率高于最高限价的为无效报价，其响应文件将被认定为响应无效。</w:t>
      </w:r>
    </w:p>
    <w:p w14:paraId="413DADF6">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报价费率保留二位小数(如*.**%)，小数点后第三位四舍五入。</w:t>
      </w:r>
    </w:p>
    <w:p w14:paraId="5D06582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2.报价包含满足本次采购需求的所有费用（包括但不限于：人工费、材料费、交通费、培训费、印刷费、管理费、保险、税金等）。报价由供应商依据现场实际情况，结合供应商自身技术和管理水平、经营状况、机械配备以及制定的监理大纲和磋商文件的有关要求自行报价。 </w:t>
      </w:r>
    </w:p>
    <w:p w14:paraId="60DB3F8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3.供应商须对目前市场因素、现场环境因素、社会因素等不确定因素对保证实现预定工期目标造成的风险费用做出估计，并包含在报价中，成交后不得以估计不足为由而提出任何增加监理服务价款或索赔要求。</w:t>
      </w:r>
    </w:p>
    <w:p w14:paraId="2283AFE3">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五、其他要求</w:t>
      </w:r>
    </w:p>
    <w:p w14:paraId="2E685FB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1.监理单位在没有取得建设单位同意前，不允许办理任何经济签证。</w:t>
      </w:r>
    </w:p>
    <w:p w14:paraId="13B9BF2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2.采购人对监理人的授权：监理人有权在本项目监理合同范围内根据《建设工程监理规范》（GB/T 50319-2013）和采购人相关文件进行行使与监理工作有关的权利。</w:t>
      </w:r>
    </w:p>
    <w:p w14:paraId="40C9593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本工程监理人员应严格按照施工图纸、现行法律法规及规范标准的要求开展监理工作，充分运用旁站、巡视、平行检验等手段，严格工程施工安全质量管控；运用现代化的管理工具（数码设备、检测、测量工器具等）确保工程安全质量“可控、在控、受控”。通过有效的监理管控手段，使工程监理在工程建设中的“四控、两管、一协调”落到实处，主要有以下几点：</w:t>
      </w:r>
    </w:p>
    <w:p w14:paraId="4B1B238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（1）现场记录：成交供应商认真、完整记录每日施工现场的人员、设备和材料、天气、施工环境以及施工中出现的各种情况；</w:t>
      </w:r>
    </w:p>
    <w:p w14:paraId="2924B7E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（2）发布文件：成交供应商采用通知、指示、批复、签认等文件形式进行施工全过程的控制和管理；</w:t>
      </w:r>
    </w:p>
    <w:p w14:paraId="59CE4FB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（3）旁站监理：成交供应商按照合同约定，在施工现场对工程项目的重要部位和关键工序的施工，实施连续性的全过程检查、监督与管理；</w:t>
      </w:r>
    </w:p>
    <w:p w14:paraId="137B233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（4）巡视检验：成交供应商对所监理的工程项目进行定期或不定期的检查、监督和管理；</w:t>
      </w:r>
    </w:p>
    <w:p w14:paraId="719352E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跟踪检测：在施工单位进行试样检测前，成交供应商对其检测人员、仪器设备以及拟订的检测程序和方法进行审核；在施工单位进行对试样进行检测时，实施全过程的监督，确认其程序、方法的有效性以及检测结果的可信性，并对该结果确认；</w:t>
      </w:r>
    </w:p>
    <w:p w14:paraId="4E5613F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（6）平行检测：成交供应商在施工单位对试样自行检测的同时，独立抽样进行的检测，核验施工单位的监测结果；</w:t>
      </w:r>
    </w:p>
    <w:p w14:paraId="01679AB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（7）协调：成交供应商对参加工程建设各方之间的关系以及工程施工过程中出现的问题和争议进行的调解。</w:t>
      </w:r>
    </w:p>
    <w:p w14:paraId="1A038DC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4.工程资料文档的收集、整理：</w:t>
      </w:r>
    </w:p>
    <w:p w14:paraId="702775C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（1）建立档案管理制度，编制档案管理计划。</w:t>
      </w:r>
    </w:p>
    <w:p w14:paraId="51A28A6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（2）进行工程档案资料的收集、整编、归档及移交工作，需满足档案验收的要求。</w:t>
      </w:r>
    </w:p>
    <w:p w14:paraId="50D594D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（3）档案管理应标准化、规范化，满足国家相关规定。</w:t>
      </w:r>
    </w:p>
    <w:p w14:paraId="154D9A1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5.监理考核管理规定：</w:t>
      </w:r>
    </w:p>
    <w:p w14:paraId="1AEA05A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（1）现场监理人员不得随意脱岗，否则经查属实，处以100元∕人.次罚款。</w:t>
      </w:r>
    </w:p>
    <w:p w14:paraId="0B3D269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（2）现场材料进场时应严格把关，造成使用材料质量不符合相关规定的，处以500-1000元∕次罚款。</w:t>
      </w:r>
    </w:p>
    <w:p w14:paraId="6179B12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未履行监理人员职责进行日常巡查，放松现场工程质量管理，造成工程存在质量隐患或出现较大质量安全隐患未及时发现并处理的，处以1000-10000元∕次罚款。出现重大质量安全事故的除依据国家相关法律严肃处理外，相关行政主管部门将依照相关文件给予记不良记录或黑名单处罚。</w:t>
      </w:r>
    </w:p>
    <w:p w14:paraId="12DD72F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（4）检验批检查验收不及时，无签字、无记录的，处以200-500元∕次罚款。</w:t>
      </w:r>
    </w:p>
    <w:p w14:paraId="6A32EFD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（5）监理日志记录不及时、不详或不实的，处以200-500元∕次罚款。</w:t>
      </w:r>
    </w:p>
    <w:p w14:paraId="6C13FF6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（6）工程重点部位、重点工序无旁站或无记录的，处以200-500元∕次罚款。</w:t>
      </w:r>
    </w:p>
    <w:p w14:paraId="5315F87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（7）工程量及经济签证计量、审核不准确或错误的，处以500-1000元∕次罚款。</w:t>
      </w:r>
    </w:p>
    <w:p w14:paraId="6BBDA20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（8）人员配备不到位或未经甲方许可擅自更换人员的，严格按合同约定予以处罚。</w:t>
      </w:r>
    </w:p>
    <w:p w14:paraId="6211856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（9）进度计划与实际进度偏差较大，未督促完成的，处以500元∕次罚款。</w:t>
      </w:r>
    </w:p>
    <w:p w14:paraId="00A2FAB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（10）监理规划、实施细则未及时编制、审核，各项施工方案未及时审批，处以500-1000元∕次罚款。</w:t>
      </w:r>
    </w:p>
    <w:p w14:paraId="38A94ED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（11）未及时组织监理例会工作，处以1000元∕次罚款。</w:t>
      </w:r>
    </w:p>
    <w:p w14:paraId="09F2B6A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12）关于总监理工程师每月在施工现场的时间要求：总监理工程师应常驻施工现场，且每月在施工现场时间不得少于26天。总监理工程师确需离开施工现场时，应事先通知建设单位，并取得建设单位的书面同意。</w:t>
      </w:r>
    </w:p>
    <w:p w14:paraId="735BFB6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13）总监理工程师未经批准，擅自离开施工现场的违约责任：总监理工程师要常驻施工现场，离开现场的须经建设单位同意，并书面指定临时代表，代为行使总监理工程师权利，该临时代表的一切行为均认为是总监理工程师的行为。未经建设单位批准，擅自离开施工现场，一经发现，每次扣罚1000元，工程建设期间发生三次以上（不含三次），建设单位有权终止合同、履约保证金不予退还。</w:t>
      </w:r>
    </w:p>
    <w:p w14:paraId="0841B3F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（14）承包人擅自更换总监理工程师的违约责任：须提前14天通知建设单位，并征得建设单位的书面同意，更换后的总监理工程师资历、水平不得降低。擅自更换总监理工程师将对承包人处以5000元违约金处罚。</w:t>
      </w:r>
    </w:p>
    <w:p w14:paraId="7FE1AC1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（15）承包人无正当理由拒绝更换总监理工程师的违约责任：将对承包人处以5000元违约金处罚。</w:t>
      </w:r>
    </w:p>
    <w:p w14:paraId="2CF70B7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（16）承包人擅自更换主要监理管理人员的违约责任：将对承包人处以警告处罚，情节严重处以2000元违约金处罚，直至解除合同。</w:t>
      </w:r>
    </w:p>
    <w:p w14:paraId="58769D8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（17）监理人需严格执行国家、安徽省、铜陵市发布的各项相关文件要求，履行监理单位责任义务。</w:t>
      </w:r>
    </w:p>
    <w:p w14:paraId="080E929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6.监理工作内容及要求：</w:t>
      </w:r>
    </w:p>
    <w:p w14:paraId="6CDC843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根据与采购人签订的合同，工程监理工作为在施工过程中对工程质量、进度、投资、安全、合同、信息进行监督管理及协调工作，工程的监理具体工作内容如下：</w:t>
      </w:r>
    </w:p>
    <w:p w14:paraId="11E0695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1）根据施工图的设计和概（预）算，协助采购人组织施工图设计交底、图纸会审，做好记录，形成图纸会审纪要。</w:t>
      </w:r>
    </w:p>
    <w:p w14:paraId="5383119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2）协助采购人做好开工准备，编制开工报告，签发开工令，复核定位放线。</w:t>
      </w:r>
    </w:p>
    <w:p w14:paraId="22FBBC4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3）审核施工单位的施工管理体系、安全管理体系、施工组织设计（重点审查其中的质量安全技术措施、专项施工方案与工程建设强制性标准的符合性）、专项施工方案、施工进度计划等。</w:t>
      </w:r>
    </w:p>
    <w:p w14:paraId="4F6E1D1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4）督促、检查施工单位严格执行工程合同和国家工程技术规范、标准，协调采购人和施工单位的关系。</w:t>
      </w:r>
    </w:p>
    <w:p w14:paraId="594C0E4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5）熟悉工程设计文件，参加施工图交底、配合设计变更的签证及负责施工现场签证。</w:t>
      </w:r>
    </w:p>
    <w:p w14:paraId="589D33B4">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6）检查施工单位工程质量、安全生产管理制度及组织机构和人员资格；检查施工单位专职安全生产管理人员的配备情况。</w:t>
      </w:r>
    </w:p>
    <w:p w14:paraId="4D202DB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7）审核施工分包单位资质条件；查施工单位报送的工程材料、构配件、设备质量证明文件的有效性和符合性，并按规定对用于工程的材料采取平行检验或见证取样方式进行抽检；</w:t>
      </w:r>
    </w:p>
    <w:p w14:paraId="44831B6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8）在巡视、旁站和检验过程中，发现工程质量、施工安全存在事故隐患的，要求施工单位整改并报采购人；</w:t>
      </w:r>
    </w:p>
    <w:p w14:paraId="71F7885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9）审查施工单位提交的采用新材料、新工艺、新技术、新设备的论证材料及相关验收标准；</w:t>
      </w:r>
    </w:p>
    <w:p w14:paraId="6E72FF59">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10）组织和参加定期召开的工地例会并做好纪要，调解有关工程建设各种合同的有关争议，协助采购人处理索赔事项。</w:t>
      </w:r>
    </w:p>
    <w:p w14:paraId="404D974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11）督促、检查施工单位落实施工安全技术措施；组织检查并监督控制工程质量。组织分项工程和隐蔽工程的检查、验收。</w:t>
      </w:r>
    </w:p>
    <w:p w14:paraId="56444E5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12）审核施工合同文件，审查技术档案资料及竣工验收资料。</w:t>
      </w:r>
    </w:p>
    <w:p w14:paraId="1046777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13）及时提供完整的监理档案，定期编制监理报告。</w:t>
      </w:r>
    </w:p>
    <w:p w14:paraId="3997DA7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14）参加工程交竣工验收，签署交竣工验收意见。</w:t>
      </w:r>
    </w:p>
    <w:p w14:paraId="6CF7646C">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15）负责检查保修阶段的工程状况，督促施工单位回访，督促保修直达到规定的质量标准。</w:t>
      </w:r>
      <w:bookmarkStart w:id="4" w:name="_GoBack"/>
      <w:bookmarkEnd w:id="4"/>
    </w:p>
    <w:sectPr>
      <w:pgSz w:w="11906" w:h="16838"/>
      <w:pgMar w:top="1474" w:right="1474" w:bottom="1474" w:left="147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4B28F8"/>
    <w:rsid w:val="0B000ED5"/>
    <w:rsid w:val="704B28F8"/>
    <w:rsid w:val="73F10F58"/>
    <w:rsid w:val="77ED7012"/>
    <w:rsid w:val="7DB83B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5">
    <w:name w:val="D&amp;L"/>
    <w:basedOn w:val="2"/>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6">
    <w:name w:val="xl31"/>
    <w:basedOn w:val="1"/>
    <w:autoRedefine/>
    <w:qFormat/>
    <w:uiPriority w:val="0"/>
    <w:pPr>
      <w:widowControl/>
      <w:spacing w:before="100" w:beforeAutospacing="1" w:after="100" w:afterAutospacing="1"/>
      <w:jc w:val="center"/>
    </w:pPr>
    <w:rPr>
      <w:b/>
      <w:bCs/>
      <w:kern w:val="0"/>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2026-09-18T07:11:00Z</dcterms:created>
  <dc:creator>焱</dc:creator>
  <cp:lastModifiedBy>焱</cp:lastModifiedBy>
  <dcterms:modified xsi:type="dcterms:W3CDTF">2026-09-18T07:13:05Z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95A8AADDEF7E41EE9E32AEC3FF063953_11</vt:lpwstr>
  </property>
  <property fmtid="{D5CDD505-2E9C-101B-9397-08002B2CF9AE}" pid="4" name="KSOTemplateDocerSaveRecord">
    <vt:lpwstr>eyJoZGlkIjoiMzZlMjBmOWUyMThhNzQ2YjY4OGI1YzcwMWQ5MzFiN2MiLCJ1c2VySWQiOiI0NDg3MDY3NDkifQ==</vt:lpwstr>
  </property>
</Properties>
</file>