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A01554">
      <w:pPr>
        <w:keepNext w:val="0"/>
        <w:keepLines w:val="0"/>
        <w:pageBreakBefore w:val="0"/>
        <w:widowControl w:val="0"/>
        <w:kinsoku w:val="0"/>
        <w:wordWrap/>
        <w:overflowPunct w:val="0"/>
        <w:topLinePunct w:val="0"/>
        <w:autoSpaceDE w:val="0"/>
        <w:autoSpaceDN w:val="0"/>
        <w:bidi w:val="0"/>
        <w:adjustRightInd/>
        <w:snapToGrid/>
        <w:spacing w:line="360" w:lineRule="auto"/>
        <w:jc w:val="center"/>
        <w:textAlignment w:val="auto"/>
        <w:outlineLvl w:val="9"/>
        <w:rPr>
          <w:rFonts w:asciiTheme="minorEastAsia" w:hAnsiTheme="minorEastAsia" w:eastAsiaTheme="minorEastAsia"/>
          <w:b/>
          <w:spacing w:val="0"/>
          <w:position w:val="0"/>
          <w:sz w:val="28"/>
        </w:rPr>
      </w:pPr>
      <w:bookmarkStart w:id="0" w:name="_Toc19440"/>
      <w:r>
        <w:rPr>
          <w:rFonts w:hint="eastAsia" w:asciiTheme="minorEastAsia" w:hAnsiTheme="minorEastAsia" w:eastAsiaTheme="minorEastAsia"/>
          <w:b/>
          <w:spacing w:val="0"/>
          <w:position w:val="0"/>
          <w:sz w:val="28"/>
        </w:rPr>
        <w:t>采购需求</w:t>
      </w:r>
      <w:bookmarkEnd w:id="0"/>
    </w:p>
    <w:p w14:paraId="3EF1399B">
      <w:pPr>
        <w:keepNext w:val="0"/>
        <w:keepLines w:val="0"/>
        <w:pageBreakBefore w:val="0"/>
        <w:widowControl w:val="0"/>
        <w:kinsoku w:val="0"/>
        <w:wordWrap/>
        <w:overflowPunct w:val="0"/>
        <w:topLinePunct w:val="0"/>
        <w:autoSpaceDE w:val="0"/>
        <w:autoSpaceDN w:val="0"/>
        <w:bidi w:val="0"/>
        <w:adjustRightInd/>
        <w:snapToGrid/>
        <w:spacing w:line="480" w:lineRule="exact"/>
        <w:textAlignment w:val="auto"/>
        <w:outlineLvl w:val="9"/>
        <w:rPr>
          <w:rFonts w:asciiTheme="minorEastAsia" w:hAnsiTheme="minorEastAsia" w:eastAsiaTheme="minorEastAsia"/>
          <w:b/>
          <w:spacing w:val="0"/>
          <w:position w:val="0"/>
          <w:sz w:val="24"/>
        </w:rPr>
      </w:pPr>
      <w:r>
        <w:rPr>
          <w:rFonts w:hint="eastAsia" w:asciiTheme="minorEastAsia" w:hAnsiTheme="minorEastAsia" w:eastAsiaTheme="minorEastAsia"/>
          <w:b/>
          <w:spacing w:val="0"/>
          <w:position w:val="0"/>
          <w:sz w:val="24"/>
        </w:rPr>
        <w:t>前注：</w:t>
      </w:r>
    </w:p>
    <w:p w14:paraId="5D2FB98E">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1.本采购需求中提出的服务方案仅为参考，如无明确限制，供应商可以进行优化，提供满足采购人实际需要的更优（或者性能实质上不低于的）服务方案，且此方案须经磋商小组评审认可。</w:t>
      </w:r>
    </w:p>
    <w:p w14:paraId="700F2B7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2.下列采购需求中（包括但不限于下列具体政策要求）：</w:t>
      </w:r>
    </w:p>
    <w:p w14:paraId="610D0A3D">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如属于《节能产品政府采购品目清单》中政府强制采购的节能产品，则供应商所投产品须具有市场监管总局公布的《参与实施政府采购节能产品认证机构目录》中的认证机构出具的、处于有效期内的节能产品认证证书。</w:t>
      </w:r>
    </w:p>
    <w:p w14:paraId="3A5A292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（2）如涉及商品包装和快递包装，供应商应当执行《关于印发〈商品包装政府采购需求标准（试行）〉、〈快递包装政府采购需求标准（试行）〉的通知》（财办库〔2020〕123 号）、《安徽省财政厅关于贯彻落实政府绿色采购有关政策的通知》（皖财购〔2023〕853号）的要求，提供符合需求标准的绿色包装、绿色运输，同时，采购人将对包装材料和运输环节作为履约验收条款进行验收。</w:t>
      </w:r>
      <w:bookmarkStart w:id="1" w:name="_Toc26349"/>
      <w:bookmarkStart w:id="2" w:name="_Toc7699"/>
    </w:p>
    <w:p w14:paraId="4C1D000D">
      <w:pPr>
        <w:keepNext w:val="0"/>
        <w:keepLines w:val="0"/>
        <w:pageBreakBefore w:val="0"/>
        <w:widowControl w:val="0"/>
        <w:kinsoku w:val="0"/>
        <w:wordWrap/>
        <w:overflowPunct w:val="0"/>
        <w:topLinePunct w:val="0"/>
        <w:autoSpaceDE w:val="0"/>
        <w:autoSpaceDN w:val="0"/>
        <w:bidi w:val="0"/>
        <w:adjustRightInd/>
        <w:snapToGrid/>
        <w:spacing w:line="480" w:lineRule="exact"/>
        <w:ind w:firstLine="482" w:firstLineChars="200"/>
        <w:textAlignment w:val="auto"/>
        <w:outlineLvl w:val="9"/>
        <w:rPr>
          <w:rFonts w:hint="eastAsia" w:ascii="宋体" w:hAnsi="宋体" w:eastAsia="宋体"/>
          <w:b/>
          <w:spacing w:val="0"/>
          <w:position w:val="0"/>
          <w:sz w:val="24"/>
        </w:rPr>
      </w:pPr>
      <w:r>
        <w:rPr>
          <w:rFonts w:hint="eastAsia" w:ascii="宋体" w:hAnsi="宋体" w:eastAsia="宋体"/>
          <w:b/>
          <w:spacing w:val="0"/>
          <w:position w:val="0"/>
          <w:sz w:val="24"/>
        </w:rPr>
        <w:t>一、采购需求前附表</w:t>
      </w:r>
      <w:bookmarkEnd w:id="1"/>
      <w:bookmarkEnd w:id="2"/>
    </w:p>
    <w:tbl>
      <w:tblPr>
        <w:tblStyle w:val="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4"/>
        <w:gridCol w:w="2187"/>
        <w:gridCol w:w="5903"/>
      </w:tblGrid>
      <w:tr w14:paraId="168A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1" w:type="pct"/>
            <w:vAlign w:val="center"/>
          </w:tcPr>
          <w:p w14:paraId="3AC0178E">
            <w:pPr>
              <w:pStyle w:val="6"/>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
                <w:spacing w:val="0"/>
                <w:kern w:val="2"/>
                <w:position w:val="0"/>
              </w:rPr>
            </w:pPr>
            <w:bookmarkStart w:id="3" w:name="_Hlk16461016"/>
            <w:r>
              <w:rPr>
                <w:rFonts w:hint="eastAsia" w:ascii="宋体" w:hAnsi="宋体" w:eastAsia="宋体"/>
                <w:b/>
                <w:spacing w:val="0"/>
                <w:kern w:val="2"/>
                <w:position w:val="0"/>
              </w:rPr>
              <w:t>序号</w:t>
            </w:r>
          </w:p>
        </w:tc>
        <w:tc>
          <w:tcPr>
            <w:tcW w:w="1192" w:type="pct"/>
            <w:vAlign w:val="center"/>
          </w:tcPr>
          <w:p w14:paraId="62698FD7">
            <w:pPr>
              <w:pStyle w:val="6"/>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position w:val="0"/>
              </w:rPr>
            </w:pPr>
            <w:r>
              <w:rPr>
                <w:rFonts w:hint="eastAsia" w:ascii="宋体" w:hAnsi="宋体" w:eastAsia="宋体"/>
                <w:b/>
                <w:spacing w:val="0"/>
                <w:kern w:val="2"/>
                <w:position w:val="0"/>
              </w:rPr>
              <w:t>条款名称</w:t>
            </w:r>
          </w:p>
        </w:tc>
        <w:tc>
          <w:tcPr>
            <w:tcW w:w="3217" w:type="pct"/>
            <w:vAlign w:val="center"/>
          </w:tcPr>
          <w:p w14:paraId="4B9CF764">
            <w:pPr>
              <w:pStyle w:val="6"/>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position w:val="0"/>
              </w:rPr>
            </w:pPr>
            <w:r>
              <w:rPr>
                <w:rFonts w:hint="eastAsia" w:ascii="宋体" w:hAnsi="宋体" w:eastAsia="宋体"/>
                <w:b/>
                <w:spacing w:val="0"/>
                <w:kern w:val="2"/>
                <w:position w:val="0"/>
              </w:rPr>
              <w:t>内容、说明与要求</w:t>
            </w:r>
          </w:p>
        </w:tc>
      </w:tr>
      <w:tr w14:paraId="305CE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591" w:type="pct"/>
            <w:vAlign w:val="center"/>
          </w:tcPr>
          <w:p w14:paraId="318EB5AC">
            <w:pPr>
              <w:pStyle w:val="6"/>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kern w:val="2"/>
                <w:position w:val="0"/>
              </w:rPr>
            </w:pPr>
            <w:r>
              <w:rPr>
                <w:rFonts w:hint="eastAsia" w:ascii="宋体" w:hAnsi="宋体" w:eastAsia="宋体"/>
                <w:bCs/>
                <w:spacing w:val="0"/>
                <w:kern w:val="2"/>
                <w:position w:val="0"/>
              </w:rPr>
              <w:t>1</w:t>
            </w:r>
          </w:p>
        </w:tc>
        <w:tc>
          <w:tcPr>
            <w:tcW w:w="1192" w:type="pct"/>
            <w:vAlign w:val="center"/>
          </w:tcPr>
          <w:p w14:paraId="7793D384">
            <w:pPr>
              <w:pStyle w:val="7"/>
              <w:keepNext w:val="0"/>
              <w:keepLines w:val="0"/>
              <w:pageBreakBefore w:val="0"/>
              <w:widowControl w:val="0"/>
              <w:kinsoku w:val="0"/>
              <w:wordWrap/>
              <w:overflowPunct w:val="0"/>
              <w:topLinePunct w:val="0"/>
              <w:autoSpaceDE w:val="0"/>
              <w:autoSpaceDN w:val="0"/>
              <w:bidi w:val="0"/>
              <w:adjustRightInd/>
              <w:snapToGrid/>
              <w:spacing w:before="0" w:beforeAutospacing="0" w:after="0" w:afterAutospacing="0" w:line="480" w:lineRule="exact"/>
              <w:textAlignment w:val="auto"/>
              <w:rPr>
                <w:rFonts w:ascii="宋体" w:hAnsi="宋体" w:eastAsia="宋体"/>
                <w:b w:val="0"/>
                <w:spacing w:val="0"/>
                <w:position w:val="0"/>
                <w:sz w:val="24"/>
              </w:rPr>
            </w:pPr>
            <w:r>
              <w:rPr>
                <w:rFonts w:hint="eastAsia" w:ascii="宋体" w:hAnsi="宋体" w:eastAsia="宋体"/>
                <w:b w:val="0"/>
                <w:spacing w:val="0"/>
                <w:position w:val="0"/>
                <w:sz w:val="24"/>
              </w:rPr>
              <w:t>付款方式</w:t>
            </w:r>
          </w:p>
        </w:tc>
        <w:tc>
          <w:tcPr>
            <w:tcW w:w="5903" w:type="dxa"/>
            <w:vAlign w:val="center"/>
          </w:tcPr>
          <w:p w14:paraId="32D01700">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exact"/>
              <w:jc w:val="both"/>
              <w:textAlignment w:val="auto"/>
              <w:rPr>
                <w:rFonts w:hint="eastAsia" w:ascii="宋体" w:hAnsi="宋体" w:eastAsia="宋体"/>
                <w:b w:val="0"/>
                <w:spacing w:val="0"/>
                <w:position w:val="0"/>
                <w:sz w:val="24"/>
                <w:u w:val="single"/>
                <w:lang w:eastAsia="zh-CN"/>
              </w:rPr>
            </w:pPr>
            <w:r>
              <w:rPr>
                <w:rFonts w:hint="eastAsia" w:ascii="宋体" w:hAnsi="宋体" w:eastAsia="宋体" w:cs="宋体"/>
                <w:color w:val="auto"/>
                <w:kern w:val="0"/>
                <w:sz w:val="24"/>
                <w:szCs w:val="24"/>
                <w:lang w:val="en-US" w:eastAsia="zh-CN" w:bidi="ar"/>
              </w:rPr>
              <w:t>本工程竣工验收合格、结算审计完成并出具审计报告后7个工作日内一次性付清。</w:t>
            </w:r>
          </w:p>
        </w:tc>
      </w:tr>
      <w:tr w14:paraId="26C3D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1" w:type="pct"/>
            <w:vAlign w:val="center"/>
          </w:tcPr>
          <w:p w14:paraId="5EF0D570">
            <w:pPr>
              <w:pStyle w:val="6"/>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kern w:val="2"/>
                <w:position w:val="0"/>
              </w:rPr>
            </w:pPr>
            <w:r>
              <w:rPr>
                <w:rFonts w:hint="eastAsia" w:ascii="宋体" w:hAnsi="宋体" w:eastAsia="宋体"/>
                <w:bCs/>
                <w:spacing w:val="0"/>
                <w:kern w:val="2"/>
                <w:position w:val="0"/>
              </w:rPr>
              <w:t>2</w:t>
            </w:r>
          </w:p>
        </w:tc>
        <w:tc>
          <w:tcPr>
            <w:tcW w:w="1192" w:type="pct"/>
            <w:vAlign w:val="center"/>
          </w:tcPr>
          <w:p w14:paraId="5BAB37D1">
            <w:pPr>
              <w:pStyle w:val="7"/>
              <w:keepNext w:val="0"/>
              <w:keepLines w:val="0"/>
              <w:pageBreakBefore w:val="0"/>
              <w:widowControl w:val="0"/>
              <w:kinsoku w:val="0"/>
              <w:wordWrap/>
              <w:overflowPunct w:val="0"/>
              <w:topLinePunct w:val="0"/>
              <w:autoSpaceDE w:val="0"/>
              <w:autoSpaceDN w:val="0"/>
              <w:bidi w:val="0"/>
              <w:adjustRightInd/>
              <w:snapToGrid/>
              <w:spacing w:before="0" w:beforeAutospacing="0" w:after="0" w:afterAutospacing="0" w:line="480" w:lineRule="exact"/>
              <w:textAlignment w:val="auto"/>
              <w:rPr>
                <w:rFonts w:ascii="宋体" w:hAnsi="宋体" w:eastAsia="宋体"/>
                <w:b w:val="0"/>
                <w:spacing w:val="0"/>
                <w:position w:val="0"/>
                <w:sz w:val="24"/>
              </w:rPr>
            </w:pPr>
            <w:r>
              <w:rPr>
                <w:rFonts w:hint="eastAsia" w:ascii="宋体" w:hAnsi="宋体" w:eastAsia="宋体"/>
                <w:b w:val="0"/>
                <w:spacing w:val="0"/>
                <w:position w:val="0"/>
                <w:sz w:val="24"/>
              </w:rPr>
              <w:t>服务地点</w:t>
            </w:r>
          </w:p>
        </w:tc>
        <w:tc>
          <w:tcPr>
            <w:tcW w:w="5903" w:type="dxa"/>
            <w:vAlign w:val="center"/>
          </w:tcPr>
          <w:p w14:paraId="0B9E85CB">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eastAsia" w:ascii="宋体" w:hAnsi="宋体" w:eastAsia="宋体" w:cs="宋体"/>
                <w:b w:val="0"/>
                <w:spacing w:val="0"/>
                <w:position w:val="0"/>
                <w:sz w:val="24"/>
                <w:szCs w:val="24"/>
                <w:lang w:eastAsia="zh-CN"/>
              </w:rPr>
            </w:pPr>
            <w:r>
              <w:rPr>
                <w:rFonts w:hint="eastAsia" w:ascii="宋体" w:hAnsi="宋体" w:eastAsia="宋体" w:cs="宋体"/>
                <w:color w:val="auto"/>
                <w:kern w:val="0"/>
                <w:sz w:val="24"/>
                <w:szCs w:val="24"/>
                <w:lang w:val="en-US" w:eastAsia="zh-CN" w:bidi="ar"/>
              </w:rPr>
              <w:t>枞阳县人民医院</w:t>
            </w:r>
          </w:p>
        </w:tc>
      </w:tr>
      <w:tr w14:paraId="497E5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1" w:type="pct"/>
            <w:vAlign w:val="center"/>
          </w:tcPr>
          <w:p w14:paraId="52236B5D">
            <w:pPr>
              <w:pStyle w:val="6"/>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kern w:val="2"/>
                <w:position w:val="0"/>
              </w:rPr>
            </w:pPr>
            <w:r>
              <w:rPr>
                <w:rFonts w:hint="eastAsia" w:ascii="宋体" w:hAnsi="宋体" w:eastAsia="宋体"/>
                <w:bCs/>
                <w:spacing w:val="0"/>
                <w:kern w:val="2"/>
                <w:position w:val="0"/>
              </w:rPr>
              <w:t>3</w:t>
            </w:r>
          </w:p>
        </w:tc>
        <w:tc>
          <w:tcPr>
            <w:tcW w:w="1192" w:type="pct"/>
            <w:vAlign w:val="center"/>
          </w:tcPr>
          <w:p w14:paraId="3233D16B">
            <w:pPr>
              <w:pStyle w:val="7"/>
              <w:keepNext w:val="0"/>
              <w:keepLines w:val="0"/>
              <w:pageBreakBefore w:val="0"/>
              <w:widowControl w:val="0"/>
              <w:kinsoku w:val="0"/>
              <w:wordWrap/>
              <w:overflowPunct w:val="0"/>
              <w:topLinePunct w:val="0"/>
              <w:autoSpaceDE w:val="0"/>
              <w:autoSpaceDN w:val="0"/>
              <w:bidi w:val="0"/>
              <w:adjustRightInd/>
              <w:snapToGrid/>
              <w:spacing w:before="0" w:beforeAutospacing="0" w:after="0" w:afterAutospacing="0" w:line="480" w:lineRule="exact"/>
              <w:textAlignment w:val="auto"/>
              <w:rPr>
                <w:rFonts w:ascii="宋体" w:hAnsi="宋体" w:eastAsia="宋体"/>
                <w:b w:val="0"/>
                <w:spacing w:val="0"/>
                <w:position w:val="0"/>
                <w:sz w:val="24"/>
              </w:rPr>
            </w:pPr>
            <w:r>
              <w:rPr>
                <w:rFonts w:hint="eastAsia" w:ascii="宋体" w:hAnsi="宋体" w:eastAsia="宋体"/>
                <w:b w:val="0"/>
                <w:spacing w:val="0"/>
                <w:position w:val="0"/>
                <w:sz w:val="24"/>
              </w:rPr>
              <w:t>服务期限</w:t>
            </w:r>
          </w:p>
        </w:tc>
        <w:tc>
          <w:tcPr>
            <w:tcW w:w="5903" w:type="dxa"/>
            <w:vAlign w:val="center"/>
          </w:tcPr>
          <w:p w14:paraId="142A2864">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eastAsia" w:ascii="宋体" w:hAnsi="宋体" w:eastAsia="宋体" w:cs="宋体"/>
                <w:b w:val="0"/>
                <w:spacing w:val="0"/>
                <w:position w:val="0"/>
                <w:sz w:val="24"/>
                <w:szCs w:val="24"/>
                <w:lang w:eastAsia="zh-CN"/>
              </w:rPr>
            </w:pPr>
            <w:r>
              <w:rPr>
                <w:rFonts w:hint="eastAsia" w:ascii="宋体" w:hAnsi="宋体" w:eastAsia="宋体" w:cs="宋体"/>
                <w:color w:val="auto"/>
                <w:kern w:val="0"/>
                <w:sz w:val="24"/>
                <w:szCs w:val="24"/>
                <w:lang w:val="en-US" w:eastAsia="zh-CN" w:bidi="ar"/>
              </w:rPr>
              <w:t>从签订合同起至出具工程竣工结算审计报告，且按要求提供该项目跟踪审计归档资料止。</w:t>
            </w:r>
          </w:p>
        </w:tc>
      </w:tr>
      <w:tr w14:paraId="1DE8D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1" w:type="pct"/>
            <w:vAlign w:val="center"/>
          </w:tcPr>
          <w:p w14:paraId="270F0629">
            <w:pPr>
              <w:pStyle w:val="6"/>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kern w:val="2"/>
                <w:position w:val="0"/>
              </w:rPr>
            </w:pPr>
            <w:r>
              <w:rPr>
                <w:rFonts w:hint="eastAsia" w:ascii="宋体" w:hAnsi="宋体" w:eastAsia="宋体"/>
                <w:bCs/>
                <w:spacing w:val="0"/>
                <w:kern w:val="2"/>
                <w:position w:val="0"/>
              </w:rPr>
              <w:t>4</w:t>
            </w:r>
          </w:p>
        </w:tc>
        <w:tc>
          <w:tcPr>
            <w:tcW w:w="1192" w:type="pct"/>
            <w:vAlign w:val="center"/>
          </w:tcPr>
          <w:p w14:paraId="6732B5E4">
            <w:pPr>
              <w:pStyle w:val="7"/>
              <w:keepNext w:val="0"/>
              <w:keepLines w:val="0"/>
              <w:pageBreakBefore w:val="0"/>
              <w:widowControl w:val="0"/>
              <w:kinsoku w:val="0"/>
              <w:wordWrap/>
              <w:overflowPunct w:val="0"/>
              <w:topLinePunct w:val="0"/>
              <w:autoSpaceDE w:val="0"/>
              <w:autoSpaceDN w:val="0"/>
              <w:bidi w:val="0"/>
              <w:adjustRightInd/>
              <w:snapToGrid/>
              <w:spacing w:before="0" w:beforeAutospacing="0" w:after="0" w:afterAutospacing="0" w:line="480" w:lineRule="exact"/>
              <w:textAlignment w:val="auto"/>
              <w:rPr>
                <w:rFonts w:ascii="宋体" w:hAnsi="宋体" w:eastAsia="宋体"/>
                <w:b w:val="0"/>
                <w:spacing w:val="0"/>
                <w:position w:val="0"/>
                <w:sz w:val="24"/>
              </w:rPr>
            </w:pPr>
            <w:r>
              <w:rPr>
                <w:rFonts w:hint="eastAsia" w:ascii="宋体" w:hAnsi="宋体" w:eastAsia="宋体"/>
                <w:b w:val="0"/>
                <w:spacing w:val="0"/>
                <w:position w:val="0"/>
                <w:sz w:val="24"/>
              </w:rPr>
              <w:t>本项目采购标的名称及所属行业</w:t>
            </w:r>
          </w:p>
        </w:tc>
        <w:tc>
          <w:tcPr>
            <w:tcW w:w="5903" w:type="dxa"/>
            <w:vAlign w:val="center"/>
          </w:tcPr>
          <w:p w14:paraId="52E5F2A2">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eastAsia" w:ascii="宋体" w:hAnsi="宋体" w:eastAsia="宋体" w:cs="宋体"/>
                <w:color w:val="auto"/>
                <w:kern w:val="0"/>
                <w:sz w:val="24"/>
                <w:szCs w:val="24"/>
                <w:lang w:val="en-US" w:eastAsia="en-US" w:bidi="ar"/>
              </w:rPr>
            </w:pPr>
            <w:r>
              <w:rPr>
                <w:rFonts w:hint="eastAsia" w:ascii="宋体" w:hAnsi="宋体" w:eastAsia="宋体" w:cs="宋体"/>
                <w:color w:val="auto"/>
                <w:kern w:val="0"/>
                <w:sz w:val="24"/>
                <w:szCs w:val="24"/>
                <w:lang w:val="en-US" w:eastAsia="en-US" w:bidi="ar"/>
              </w:rPr>
              <w:t>标的名称：</w:t>
            </w:r>
            <w:r>
              <w:rPr>
                <w:rFonts w:hint="eastAsia" w:ascii="宋体" w:hAnsi="宋体" w:eastAsia="宋体" w:cs="宋体"/>
                <w:color w:val="auto"/>
                <w:kern w:val="0"/>
                <w:sz w:val="24"/>
                <w:szCs w:val="24"/>
                <w:lang w:val="en-US" w:eastAsia="zh-CN" w:bidi="ar"/>
              </w:rPr>
              <w:t>枞阳县人民医院医共体服务能力提升项目外科大楼重症监护病房及连廊工程跟踪审计服务</w:t>
            </w:r>
          </w:p>
          <w:p w14:paraId="2A7BD453">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eastAsia" w:ascii="宋体" w:hAnsi="宋体" w:eastAsia="宋体" w:cs="宋体"/>
                <w:b w:val="0"/>
                <w:spacing w:val="0"/>
                <w:position w:val="0"/>
                <w:sz w:val="24"/>
                <w:szCs w:val="24"/>
                <w:lang w:eastAsia="zh-CN"/>
              </w:rPr>
            </w:pPr>
            <w:r>
              <w:rPr>
                <w:rFonts w:hint="eastAsia" w:ascii="宋体" w:hAnsi="宋体" w:eastAsia="宋体" w:cs="宋体"/>
                <w:color w:val="auto"/>
                <w:kern w:val="0"/>
                <w:sz w:val="24"/>
                <w:szCs w:val="24"/>
                <w:lang w:val="en-US" w:eastAsia="en-US" w:bidi="ar"/>
              </w:rPr>
              <w:t>所属行业：</w:t>
            </w:r>
            <w:r>
              <w:rPr>
                <w:rFonts w:hint="eastAsia" w:ascii="宋体" w:hAnsi="宋体" w:eastAsia="宋体" w:cs="宋体"/>
                <w:color w:val="auto"/>
                <w:kern w:val="0"/>
                <w:sz w:val="24"/>
                <w:szCs w:val="24"/>
                <w:lang w:val="en-US" w:eastAsia="zh-CN" w:bidi="ar"/>
              </w:rPr>
              <w:t>其他未列明行业</w:t>
            </w:r>
          </w:p>
        </w:tc>
      </w:tr>
      <w:bookmarkEnd w:id="3"/>
    </w:tbl>
    <w:p w14:paraId="11AD2002">
      <w:pPr>
        <w:keepNext w:val="0"/>
        <w:keepLines w:val="0"/>
        <w:pageBreakBefore w:val="0"/>
        <w:widowControl w:val="0"/>
        <w:kinsoku w:val="0"/>
        <w:wordWrap/>
        <w:overflowPunct w:val="0"/>
        <w:topLinePunct w:val="0"/>
        <w:autoSpaceDE w:val="0"/>
        <w:autoSpaceDN w:val="0"/>
        <w:bidi w:val="0"/>
        <w:adjustRightInd/>
        <w:snapToGrid/>
        <w:spacing w:line="480" w:lineRule="exact"/>
        <w:ind w:firstLine="482" w:firstLineChars="200"/>
        <w:textAlignment w:val="auto"/>
        <w:outlineLvl w:val="9"/>
        <w:rPr>
          <w:rFonts w:hint="eastAsia" w:ascii="宋体" w:hAnsi="宋体" w:eastAsia="宋体"/>
          <w:b/>
          <w:spacing w:val="0"/>
          <w:position w:val="0"/>
          <w:sz w:val="24"/>
          <w:lang w:eastAsia="en-US"/>
        </w:rPr>
      </w:pPr>
      <w:r>
        <w:rPr>
          <w:rFonts w:hint="eastAsia" w:ascii="宋体" w:hAnsi="宋体" w:eastAsia="宋体"/>
          <w:b/>
          <w:spacing w:val="0"/>
          <w:position w:val="0"/>
          <w:sz w:val="24"/>
          <w:lang w:eastAsia="zh-CN"/>
        </w:rPr>
        <w:t>二、</w:t>
      </w:r>
      <w:r>
        <w:rPr>
          <w:rFonts w:hint="eastAsia" w:ascii="宋体" w:hAnsi="宋体" w:eastAsia="宋体"/>
          <w:b/>
          <w:spacing w:val="0"/>
          <w:position w:val="0"/>
          <w:sz w:val="24"/>
          <w:lang w:eastAsia="en-US"/>
        </w:rPr>
        <w:t>项目概况</w:t>
      </w:r>
    </w:p>
    <w:p w14:paraId="5F378F32">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枞阳县人民医院医共体服务能力提升项目外科大楼重症监护病房及连廊工程，外科大楼重症监护病房建筑面积约1400平方米，主要建设内容为重症监护病房的洁净装饰和改造、水电暖和消防工程的改造安装以及医用气体安装等，涉及医用气密门、医疗专用灯、气体终端、医气系统、医疗设备带、吊塔等安装，满足重症监护病房气流组织等院感控制等要求，具体见施工图纸；项目地点为枞阳县人民医院外科综合大楼四楼，建设场地现状为大空间，并按照大空间的布置进行消防工程安装。连廊工程为外科大楼与内科大楼之间新建一层连廊，建筑面积约294.22㎡，具体详见施工图纸。</w:t>
      </w:r>
    </w:p>
    <w:p w14:paraId="0F0E5D8C">
      <w:pPr>
        <w:keepNext w:val="0"/>
        <w:keepLines w:val="0"/>
        <w:pageBreakBefore w:val="0"/>
        <w:widowControl w:val="0"/>
        <w:kinsoku w:val="0"/>
        <w:wordWrap/>
        <w:overflowPunct w:val="0"/>
        <w:topLinePunct w:val="0"/>
        <w:autoSpaceDE w:val="0"/>
        <w:autoSpaceDN w:val="0"/>
        <w:bidi w:val="0"/>
        <w:adjustRightInd/>
        <w:snapToGrid/>
        <w:spacing w:line="480" w:lineRule="exact"/>
        <w:ind w:firstLine="482" w:firstLineChars="200"/>
        <w:textAlignment w:val="auto"/>
        <w:outlineLvl w:val="9"/>
        <w:rPr>
          <w:rFonts w:hint="eastAsia" w:ascii="宋体" w:hAnsi="宋体" w:eastAsia="宋体"/>
          <w:b/>
          <w:spacing w:val="0"/>
          <w:position w:val="0"/>
          <w:sz w:val="24"/>
          <w:lang w:val="en-US" w:eastAsia="zh-CN"/>
        </w:rPr>
      </w:pPr>
      <w:r>
        <w:rPr>
          <w:rFonts w:hint="eastAsia" w:ascii="宋体" w:hAnsi="宋体" w:eastAsia="宋体"/>
          <w:b/>
          <w:spacing w:val="0"/>
          <w:position w:val="0"/>
          <w:sz w:val="24"/>
          <w:lang w:val="en-US" w:eastAsia="zh-CN"/>
        </w:rPr>
        <w:t>三、服务要求</w:t>
      </w:r>
    </w:p>
    <w:p w14:paraId="4C2563D0">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1.造价咨询服务范围及内容：施工阶段全过程跟踪审计、工程竣工结算审计以及与工程造价业务有关的咨询服务等。</w:t>
      </w:r>
    </w:p>
    <w:p w14:paraId="7F22A893">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2.造价咨询人员要求：</w:t>
      </w:r>
    </w:p>
    <w:tbl>
      <w:tblPr>
        <w:tblStyle w:val="8"/>
        <w:tblW w:w="8500" w:type="dxa"/>
        <w:tblInd w:w="30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91"/>
        <w:gridCol w:w="2914"/>
        <w:gridCol w:w="1739"/>
        <w:gridCol w:w="1274"/>
        <w:gridCol w:w="982"/>
      </w:tblGrid>
      <w:tr w14:paraId="21E9A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1" w:hRule="atLeast"/>
        </w:trPr>
        <w:tc>
          <w:tcPr>
            <w:tcW w:w="1591" w:type="dxa"/>
            <w:vAlign w:val="center"/>
          </w:tcPr>
          <w:p w14:paraId="4055C216">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岗位</w:t>
            </w:r>
          </w:p>
        </w:tc>
        <w:tc>
          <w:tcPr>
            <w:tcW w:w="2914" w:type="dxa"/>
            <w:vAlign w:val="center"/>
          </w:tcPr>
          <w:p w14:paraId="2683D477">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资质证书要求</w:t>
            </w:r>
          </w:p>
        </w:tc>
        <w:tc>
          <w:tcPr>
            <w:tcW w:w="1739" w:type="dxa"/>
            <w:vAlign w:val="center"/>
          </w:tcPr>
          <w:p w14:paraId="26FF950F">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专业要求</w:t>
            </w:r>
          </w:p>
        </w:tc>
        <w:tc>
          <w:tcPr>
            <w:tcW w:w="1274" w:type="dxa"/>
            <w:vAlign w:val="center"/>
          </w:tcPr>
          <w:p w14:paraId="06B898D7">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人员配额</w:t>
            </w:r>
          </w:p>
        </w:tc>
        <w:tc>
          <w:tcPr>
            <w:tcW w:w="982" w:type="dxa"/>
            <w:vAlign w:val="center"/>
          </w:tcPr>
          <w:p w14:paraId="235E5D96">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备注</w:t>
            </w:r>
          </w:p>
        </w:tc>
      </w:tr>
      <w:tr w14:paraId="2FE8D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5" w:hRule="atLeast"/>
        </w:trPr>
        <w:tc>
          <w:tcPr>
            <w:tcW w:w="1591" w:type="dxa"/>
            <w:vAlign w:val="center"/>
          </w:tcPr>
          <w:p w14:paraId="7231DC48">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项目负责人</w:t>
            </w:r>
          </w:p>
        </w:tc>
        <w:tc>
          <w:tcPr>
            <w:tcW w:w="2914" w:type="dxa"/>
            <w:vAlign w:val="center"/>
          </w:tcPr>
          <w:p w14:paraId="0ECC6BC4">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有效的注册一级造价工程师或注册造价工程师</w:t>
            </w:r>
          </w:p>
        </w:tc>
        <w:tc>
          <w:tcPr>
            <w:tcW w:w="1739" w:type="dxa"/>
            <w:vAlign w:val="center"/>
          </w:tcPr>
          <w:p w14:paraId="0B8109E9">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土建专业或安装专业</w:t>
            </w:r>
          </w:p>
        </w:tc>
        <w:tc>
          <w:tcPr>
            <w:tcW w:w="1274" w:type="dxa"/>
            <w:vAlign w:val="center"/>
          </w:tcPr>
          <w:p w14:paraId="2981AAE6">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1人</w:t>
            </w:r>
          </w:p>
        </w:tc>
        <w:tc>
          <w:tcPr>
            <w:tcW w:w="982" w:type="dxa"/>
            <w:vMerge w:val="restart"/>
            <w:vAlign w:val="center"/>
          </w:tcPr>
          <w:p w14:paraId="7A8BDF74">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在本单</w:t>
            </w:r>
          </w:p>
          <w:p w14:paraId="35ED8E18">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位注册</w:t>
            </w:r>
          </w:p>
        </w:tc>
      </w:tr>
      <w:tr w14:paraId="401E6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5" w:hRule="atLeast"/>
        </w:trPr>
        <w:tc>
          <w:tcPr>
            <w:tcW w:w="1591" w:type="dxa"/>
            <w:vAlign w:val="center"/>
          </w:tcPr>
          <w:p w14:paraId="6F477844">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项目组人员</w:t>
            </w:r>
          </w:p>
        </w:tc>
        <w:tc>
          <w:tcPr>
            <w:tcW w:w="2914" w:type="dxa"/>
            <w:vAlign w:val="center"/>
          </w:tcPr>
          <w:p w14:paraId="6D7F7411">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二级及以上注册造价工程师</w:t>
            </w:r>
          </w:p>
        </w:tc>
        <w:tc>
          <w:tcPr>
            <w:tcW w:w="1739" w:type="dxa"/>
            <w:vAlign w:val="center"/>
          </w:tcPr>
          <w:p w14:paraId="07FE554D">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土建专业或安装专业</w:t>
            </w:r>
          </w:p>
        </w:tc>
        <w:tc>
          <w:tcPr>
            <w:tcW w:w="1274" w:type="dxa"/>
            <w:vAlign w:val="center"/>
          </w:tcPr>
          <w:p w14:paraId="190804F3">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2人</w:t>
            </w:r>
          </w:p>
        </w:tc>
        <w:tc>
          <w:tcPr>
            <w:tcW w:w="982" w:type="dxa"/>
            <w:vMerge w:val="continue"/>
            <w:vAlign w:val="center"/>
          </w:tcPr>
          <w:p w14:paraId="63F8695F">
            <w:pPr>
              <w:keepNext w:val="0"/>
              <w:keepLines w:val="0"/>
              <w:pageBreakBefore w:val="0"/>
              <w:widowControl w:val="0"/>
              <w:kinsoku/>
              <w:wordWrap/>
              <w:overflowPunct/>
              <w:topLinePunct w:val="0"/>
              <w:autoSpaceDE/>
              <w:autoSpaceDN/>
              <w:bidi w:val="0"/>
              <w:adjustRightInd/>
              <w:snapToGrid/>
              <w:spacing w:line="480" w:lineRule="exact"/>
              <w:ind w:left="0" w:leftChars="0"/>
              <w:jc w:val="center"/>
              <w:textAlignment w:val="auto"/>
              <w:rPr>
                <w:rFonts w:ascii="宋体" w:hAnsi="宋体" w:eastAsia="宋体" w:cs="宋体"/>
                <w:color w:val="000000" w:themeColor="text1"/>
                <w:spacing w:val="-2"/>
                <w:sz w:val="24"/>
                <w:szCs w:val="24"/>
                <w:highlight w:val="none"/>
                <w14:textFill>
                  <w14:solidFill>
                    <w14:schemeClr w14:val="tx1"/>
                  </w14:solidFill>
                </w14:textFill>
              </w:rPr>
            </w:pPr>
          </w:p>
        </w:tc>
      </w:tr>
      <w:tr w14:paraId="1DDFC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5" w:hRule="atLeast"/>
        </w:trPr>
        <w:tc>
          <w:tcPr>
            <w:tcW w:w="8500" w:type="dxa"/>
            <w:gridSpan w:val="5"/>
            <w:vAlign w:val="center"/>
          </w:tcPr>
          <w:p w14:paraId="20B2991F">
            <w:pPr>
              <w:pStyle w:val="2"/>
              <w:keepNext w:val="0"/>
              <w:keepLines w:val="0"/>
              <w:pageBreakBefore w:val="0"/>
              <w:widowControl w:val="0"/>
              <w:kinsoku/>
              <w:wordWrap/>
              <w:overflowPunct/>
              <w:topLinePunct w:val="0"/>
              <w:autoSpaceDE/>
              <w:autoSpaceDN/>
              <w:bidi w:val="0"/>
              <w:adjustRightInd/>
              <w:snapToGrid/>
              <w:spacing w:line="480" w:lineRule="exact"/>
              <w:ind w:left="113" w:right="113"/>
              <w:jc w:val="both"/>
              <w:textAlignment w:val="auto"/>
              <w:rPr>
                <w:rFonts w:ascii="宋体" w:hAnsi="宋体" w:eastAsia="宋体" w:cs="宋体"/>
                <w:color w:val="000000" w:themeColor="text1"/>
                <w:spacing w:val="-2"/>
                <w:sz w:val="24"/>
                <w:szCs w:val="24"/>
                <w:highlight w:val="none"/>
                <w14:textFill>
                  <w14:solidFill>
                    <w14:schemeClr w14:val="tx1"/>
                  </w14:solidFill>
                </w14:textFill>
              </w:rPr>
            </w:pPr>
            <w:r>
              <w:rPr>
                <w:rFonts w:ascii="宋体" w:hAnsi="宋体" w:eastAsia="宋体" w:cs="宋体"/>
                <w:sz w:val="24"/>
                <w:szCs w:val="24"/>
              </w:rPr>
              <w:t>注：1.有效的注册造价工程师指根据原人事部、原建设部发布的《造价工程师执业资格制度暂行规定》（人发〔1996〕77号）取得的造价工程师执业资格，并经注册且在有效期内；有效的注册一级造价工程师资格指根据住房和城乡建设部、交通运输部、水利部、人力资源社会保障部发布的《造价工程师职业资格制度规定》《造价工程师职业资格考试实施办法》（建人〔2018〕67号）取得的一级造价工程师职业资格，并经注册且在有效期内。2.未实行分级的注册造价工程师自动划分为一级注册造价工程师。3.供应商须在响应文件中列出为本项目配备上表要求的人员，并在响应文件中提供人员名单、注册证书</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及响应文件提交截止时间前三个月内任意一个月供应商（或供应商不具备独立法人资格的分支机构）所属社保机构为其缴纳的社保缴费证明（或其他能够证明其参加社保的有效证明材料）复印件或影印件或扫描件，社保证明材料中至少能够体现养老保险。</w:t>
            </w:r>
            <w:r>
              <w:rPr>
                <w:rFonts w:ascii="宋体" w:hAnsi="宋体" w:eastAsia="宋体" w:cs="宋体"/>
                <w:sz w:val="24"/>
                <w:szCs w:val="24"/>
              </w:rPr>
              <w:t>若不符合上述人员要求，</w:t>
            </w:r>
            <w:r>
              <w:rPr>
                <w:rFonts w:hint="eastAsia" w:ascii="宋体" w:hAnsi="宋体" w:eastAsia="宋体" w:cs="宋体"/>
                <w:sz w:val="24"/>
                <w:szCs w:val="24"/>
                <w:lang w:eastAsia="zh-CN"/>
              </w:rPr>
              <w:t>响应文件</w:t>
            </w:r>
            <w:r>
              <w:rPr>
                <w:rFonts w:ascii="宋体" w:hAnsi="宋体" w:eastAsia="宋体" w:cs="宋体"/>
                <w:sz w:val="24"/>
                <w:szCs w:val="24"/>
              </w:rPr>
              <w:t>将被否决。</w:t>
            </w:r>
          </w:p>
        </w:tc>
      </w:tr>
    </w:tbl>
    <w:p w14:paraId="6DDE5510">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3.其他要求：</w:t>
      </w:r>
    </w:p>
    <w:p w14:paraId="4300A3F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①成交供应商根据委托审计服务内容及要求，及时出具各阶段审计（审核）报告。</w:t>
      </w:r>
    </w:p>
    <w:p w14:paraId="3714F7DF">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②成交供应商应根据委托具体审计事项，拟定参与审计的人员组成情况，并根据委托人的要求及时安排相关审计人员参与项目咨询。</w:t>
      </w:r>
    </w:p>
    <w:p w14:paraId="06C66F66">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③成交供应商应根据相关法律法规、制度、政策等依法依规、客观公正开展审计业务，并遵守保密和回避等相关制度。</w:t>
      </w:r>
    </w:p>
    <w:p w14:paraId="3FA97DC3">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④审计过程中可能会发生的未约定事项由成交供应商和采购人依法协商确定。</w:t>
      </w:r>
    </w:p>
    <w:p w14:paraId="0E728C78">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⑤对在开展审计业务过程中，成交供应商徇私舞弊、与被审计单位相互勾结等违反相关规定和委托要求的，给采购人造成经济损失的，采购人有权依法追究赔偿责任。</w:t>
      </w:r>
    </w:p>
    <w:p w14:paraId="5BBD1295">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4.适用规范标准：满足国家相关规范</w:t>
      </w:r>
    </w:p>
    <w:p w14:paraId="316E4BBD">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5.成果文件的要求：成果文件的组成、深度、格式要求、份数要求、载体要求均满足采购人需求。</w:t>
      </w:r>
    </w:p>
    <w:p w14:paraId="1277678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s="宋体"/>
          <w:sz w:val="24"/>
          <w:szCs w:val="24"/>
          <w:lang w:val="en-US" w:eastAsia="zh-CN"/>
        </w:rPr>
        <w:t>6.采购人提供的便利条件：无。成交供应商自行解决现场办公场所和食宿，自行配备办公用品及相关设施设备等，不得在施工单位项目部场所进行办公和食宿；除常驻人员以外，其他专业人员根据项目特征及实施情况配备，确保满足项目正常开展需要。</w:t>
      </w:r>
    </w:p>
    <w:p w14:paraId="18051EC3">
      <w:pPr>
        <w:keepNext w:val="0"/>
        <w:keepLines w:val="0"/>
        <w:pageBreakBefore w:val="0"/>
        <w:widowControl w:val="0"/>
        <w:kinsoku w:val="0"/>
        <w:wordWrap/>
        <w:overflowPunct w:val="0"/>
        <w:topLinePunct w:val="0"/>
        <w:autoSpaceDE w:val="0"/>
        <w:autoSpaceDN w:val="0"/>
        <w:bidi w:val="0"/>
        <w:adjustRightInd/>
        <w:snapToGrid/>
        <w:spacing w:line="480" w:lineRule="exact"/>
        <w:ind w:firstLine="482" w:firstLineChars="200"/>
        <w:textAlignment w:val="auto"/>
        <w:outlineLvl w:val="9"/>
        <w:rPr>
          <w:rFonts w:hint="eastAsia" w:ascii="宋体" w:hAnsi="宋体" w:eastAsia="宋体"/>
          <w:b/>
          <w:spacing w:val="0"/>
          <w:position w:val="0"/>
          <w:sz w:val="24"/>
          <w:lang w:val="en-US" w:eastAsia="zh-CN"/>
        </w:rPr>
      </w:pPr>
      <w:r>
        <w:rPr>
          <w:rFonts w:hint="eastAsia" w:ascii="宋体" w:hAnsi="宋体" w:eastAsia="宋体"/>
          <w:b/>
          <w:spacing w:val="0"/>
          <w:position w:val="0"/>
          <w:sz w:val="24"/>
          <w:lang w:val="en-US" w:eastAsia="zh-CN"/>
        </w:rPr>
        <w:t>四、报价要求</w:t>
      </w:r>
    </w:p>
    <w:p w14:paraId="4BF364D9">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outlineLvl w:val="9"/>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1.本项目为费率报价，最高限价：施工中标价*0.6%。报价费率高于最高限价的为无效报价，其响应文件将被认定为响应无效。</w:t>
      </w:r>
    </w:p>
    <w:p w14:paraId="413DADF6">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outlineLvl w:val="9"/>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报价费率保留二位小数(如*.**%)，小数点后第三位四舍五入。</w:t>
      </w:r>
    </w:p>
    <w:p w14:paraId="5D06582F">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报价包含满足本次采购需求的所有费用（包括但不限于：人工费、材料费、交通费、培训费、印刷费、管理费、保险、税金等）。报价由供应商依据现场实际情况，结合供应商自身技术和管理水平、经营状况、机械配备以及磋商文件的有关要求自行报价。</w:t>
      </w:r>
    </w:p>
    <w:p w14:paraId="310D7F33">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3.供应商须对目前市场因素、现场环境因素、社会因素等不确定因素对保证实现预定工期目标造成的风险费用做出估计，并包含在报价中，成交后不得以估计不足为由而提出任何增加跟审服务价款或索赔要求。</w:t>
      </w:r>
      <w:bookmarkStart w:id="4" w:name="_GoBack"/>
      <w:bookmarkEnd w:id="4"/>
    </w:p>
    <w:sectPr>
      <w:pgSz w:w="11906" w:h="16838"/>
      <w:pgMar w:top="1474" w:right="1474" w:bottom="1474" w:left="1474" w:header="851" w:footer="992" w:gutter="0"/>
      <w:paperSrc/>
      <w:cols w:space="0" w:num="1"/>
      <w:rtlGutter w:val="0"/>
      <w:docGrid w:type="lines" w:linePitch="33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6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D07C5B"/>
    <w:rsid w:val="0B000ED5"/>
    <w:rsid w:val="64D07C5B"/>
    <w:rsid w:val="73F10F58"/>
    <w:rsid w:val="77ED7012"/>
    <w:rsid w:val="7DB83B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kern w:val="2"/>
      <w:sz w:val="21"/>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rPr>
      <w:rFonts w:ascii="Arial" w:hAnsi="Arial" w:eastAsia="黑体" w:cs="Arial"/>
    </w:rPr>
  </w:style>
  <w:style w:type="paragraph" w:styleId="3">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customStyle="1" w:styleId="6">
    <w:name w:val="D&amp;L"/>
    <w:basedOn w:val="3"/>
    <w:autoRedefine/>
    <w:qFormat/>
    <w:uiPriority w:val="0"/>
    <w:pPr>
      <w:pBdr>
        <w:bottom w:val="thinThickSmallGap" w:color="auto" w:sz="18" w:space="1"/>
      </w:pBdr>
      <w:adjustRightInd w:val="0"/>
      <w:snapToGrid/>
      <w:spacing w:line="240" w:lineRule="atLeast"/>
      <w:textAlignment w:val="baseline"/>
    </w:pPr>
    <w:rPr>
      <w:kern w:val="0"/>
      <w:sz w:val="24"/>
      <w:szCs w:val="20"/>
    </w:rPr>
  </w:style>
  <w:style w:type="paragraph" w:customStyle="1" w:styleId="7">
    <w:name w:val="xl31"/>
    <w:basedOn w:val="1"/>
    <w:autoRedefine/>
    <w:qFormat/>
    <w:uiPriority w:val="0"/>
    <w:pPr>
      <w:widowControl/>
      <w:spacing w:before="100" w:beforeAutospacing="1" w:after="100" w:afterAutospacing="1"/>
      <w:jc w:val="center"/>
    </w:pPr>
    <w:rPr>
      <w:b/>
      <w:bCs/>
      <w:kern w:val="0"/>
      <w:sz w:val="28"/>
      <w:szCs w:val="28"/>
    </w:rPr>
  </w:style>
  <w:style w:type="table" w:customStyle="1" w:styleId="8">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2026-09-18T07:13:00Z</dcterms:created>
  <dc:creator>焱</dc:creator>
  <cp:lastModifiedBy>焱</cp:lastModifiedBy>
  <dcterms:modified xsi:type="dcterms:W3CDTF">2026-09-18T07:15:03Z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EF79B12CA4B545419808FAA0D2AED80C_11</vt:lpwstr>
  </property>
  <property fmtid="{D5CDD505-2E9C-101B-9397-08002B2CF9AE}" pid="4" name="KSOTemplateDocerSaveRecord">
    <vt:lpwstr>eyJoZGlkIjoiMzZlMjBmOWUyMThhNzQ2YjY4OGI1YzcwMWQ5MzFiN2MiLCJ1c2VySWQiOiI0NDg3MDY3NDkifQ==</vt:lpwstr>
  </property>
</Properties>
</file>