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9B475F">
      <w:pPr>
        <w:ind w:left="3669" w:hanging="3669" w:hangingChars="900"/>
        <w:rPr>
          <w:rFonts w:hint="eastAsia" w:ascii="宋体" w:hAnsi="宋体" w:eastAsia="宋体" w:cs="宋体"/>
          <w:b/>
          <w:sz w:val="44"/>
          <w:szCs w:val="44"/>
          <w:lang w:val="en-US" w:eastAsia="zh-CN"/>
        </w:rPr>
      </w:pPr>
      <w:r>
        <w:rPr>
          <w:rFonts w:hint="eastAsia" w:ascii="宋体" w:hAnsi="宋体" w:eastAsia="宋体" w:cs="宋体"/>
          <w:b/>
          <w:spacing w:val="-17"/>
          <w:sz w:val="44"/>
          <w:szCs w:val="44"/>
        </w:rPr>
        <w:t>枞阳县人民医院麻醉临床信息系统维护服务项目</w:t>
      </w:r>
      <w:r>
        <w:rPr>
          <w:rFonts w:hint="eastAsia" w:ascii="宋体" w:hAnsi="宋体" w:cs="宋体"/>
          <w:b/>
          <w:spacing w:val="-11"/>
          <w:sz w:val="44"/>
          <w:szCs w:val="44"/>
          <w:lang w:val="en-US" w:eastAsia="zh-CN"/>
        </w:rPr>
        <w:t xml:space="preserve"> </w:t>
      </w:r>
      <w:r>
        <w:rPr>
          <w:rFonts w:hint="eastAsia" w:ascii="宋体" w:hAnsi="宋体" w:eastAsia="宋体" w:cs="宋体"/>
          <w:b/>
          <w:sz w:val="44"/>
          <w:szCs w:val="44"/>
          <w:lang w:val="en-US" w:eastAsia="zh-CN"/>
        </w:rPr>
        <w:t>采购需求</w:t>
      </w:r>
    </w:p>
    <w:p w14:paraId="7CA92043">
      <w:pPr>
        <w:bidi w:val="0"/>
        <w:rPr>
          <w:rFonts w:hint="eastAsia" w:asciiTheme="minorHAnsi" w:hAnsiTheme="minorHAnsi" w:eastAsiaTheme="minorEastAsia" w:cstheme="minorBidi"/>
          <w:kern w:val="2"/>
          <w:sz w:val="21"/>
          <w:szCs w:val="24"/>
          <w:lang w:val="en-US" w:eastAsia="zh-CN" w:bidi="ar-SA"/>
        </w:rPr>
      </w:pPr>
    </w:p>
    <w:p w14:paraId="21068705">
      <w:pPr>
        <w:adjustRightInd w:val="0"/>
        <w:snapToGrid w:val="0"/>
        <w:spacing w:line="480" w:lineRule="exact"/>
        <w:rPr>
          <w:rFonts w:hint="eastAsia" w:ascii="宋体" w:hAnsi="宋体" w:eastAsia="宋体" w:cs="宋体"/>
          <w:b/>
          <w:kern w:val="0"/>
          <w:sz w:val="28"/>
          <w:szCs w:val="28"/>
        </w:rPr>
      </w:pPr>
      <w:r>
        <w:rPr>
          <w:rFonts w:hint="eastAsia"/>
          <w:sz w:val="36"/>
          <w:szCs w:val="44"/>
          <w:lang w:val="en-US" w:eastAsia="zh-CN"/>
        </w:rPr>
        <w:t>一、</w:t>
      </w:r>
      <w:r>
        <w:rPr>
          <w:rFonts w:hint="eastAsia" w:ascii="宋体" w:hAnsi="宋体" w:eastAsia="宋体" w:cs="宋体"/>
          <w:b/>
          <w:kern w:val="0"/>
          <w:sz w:val="28"/>
          <w:szCs w:val="28"/>
        </w:rPr>
        <w:t xml:space="preserve">采购需求 </w:t>
      </w:r>
    </w:p>
    <w:p w14:paraId="7CB399C9">
      <w:pPr>
        <w:adjustRightInd w:val="0"/>
        <w:snapToGrid w:val="0"/>
        <w:spacing w:line="480" w:lineRule="exact"/>
        <w:ind w:firstLine="560" w:firstLineChars="200"/>
        <w:rPr>
          <w:rFonts w:hint="eastAsia" w:ascii="宋体" w:hAnsi="宋体" w:eastAsia="宋体" w:cs="宋体"/>
          <w:b w:val="0"/>
          <w:bCs/>
          <w:sz w:val="28"/>
          <w:szCs w:val="28"/>
          <w:lang w:val="en-US" w:eastAsia="zh-CN"/>
        </w:rPr>
      </w:pPr>
      <w:r>
        <w:rPr>
          <w:rFonts w:hint="eastAsia" w:ascii="宋体" w:hAnsi="宋体" w:eastAsia="宋体" w:cs="宋体"/>
          <w:b w:val="0"/>
          <w:bCs/>
          <w:sz w:val="28"/>
          <w:szCs w:val="28"/>
        </w:rPr>
        <w:t>本项目为枞阳县人民医院麻醉科信息系统软件维保服务，确保患者入院经过术前、术中、术后，直至出院的全过程，通过与相关医疗仪器的设备集成，与医院信息系统的信息整合，实现术期患者信息的自动采集与共享。系统维护内容包括日常问题处理，系统稳定性保障，集成平台软件维护，定制化需求调研、分析、方案设计，程序开发、联调、测试、部署、实施</w:t>
      </w:r>
      <w:r>
        <w:rPr>
          <w:rFonts w:hint="eastAsia" w:ascii="宋体" w:hAnsi="宋体" w:eastAsia="宋体" w:cs="宋体"/>
          <w:b w:val="0"/>
          <w:bCs/>
          <w:sz w:val="28"/>
          <w:szCs w:val="28"/>
          <w:lang w:val="en-US" w:eastAsia="zh-CN"/>
        </w:rPr>
        <w:t>等。</w:t>
      </w:r>
    </w:p>
    <w:p w14:paraId="6AA17D11">
      <w:pPr>
        <w:adjustRightInd w:val="0"/>
        <w:snapToGrid w:val="0"/>
        <w:spacing w:line="480" w:lineRule="exact"/>
        <w:rPr>
          <w:rFonts w:ascii="宋体" w:hAnsi="宋体" w:cs="宋体"/>
          <w:b/>
          <w:bCs/>
          <w:sz w:val="28"/>
          <w:szCs w:val="28"/>
        </w:rPr>
      </w:pPr>
      <w:r>
        <w:rPr>
          <w:rFonts w:hint="eastAsia" w:ascii="宋体" w:hAnsi="宋体" w:cs="宋体"/>
          <w:b/>
          <w:bCs/>
          <w:sz w:val="28"/>
          <w:szCs w:val="28"/>
          <w:lang w:eastAsia="zh-CN"/>
        </w:rPr>
        <w:t>（</w:t>
      </w:r>
      <w:r>
        <w:rPr>
          <w:rFonts w:hint="eastAsia" w:ascii="宋体" w:hAnsi="宋体" w:cs="宋体"/>
          <w:b/>
          <w:bCs/>
          <w:sz w:val="28"/>
          <w:szCs w:val="28"/>
          <w:lang w:val="en-US" w:eastAsia="zh-CN"/>
        </w:rPr>
        <w:t>一</w:t>
      </w:r>
      <w:r>
        <w:rPr>
          <w:rFonts w:hint="eastAsia" w:ascii="宋体" w:hAnsi="宋体" w:cs="宋体"/>
          <w:b/>
          <w:bCs/>
          <w:sz w:val="28"/>
          <w:szCs w:val="28"/>
          <w:lang w:eastAsia="zh-CN"/>
        </w:rPr>
        <w:t>）</w:t>
      </w:r>
      <w:r>
        <w:rPr>
          <w:rFonts w:hint="eastAsia" w:ascii="宋体" w:hAnsi="宋体" w:cs="宋体"/>
          <w:b/>
          <w:bCs/>
          <w:sz w:val="28"/>
          <w:szCs w:val="28"/>
          <w:lang w:val="en-US" w:eastAsia="zh-CN"/>
        </w:rPr>
        <w:t>服务</w:t>
      </w:r>
      <w:r>
        <w:rPr>
          <w:rFonts w:hint="eastAsia" w:ascii="宋体" w:hAnsi="宋体" w:cs="宋体"/>
          <w:b/>
          <w:bCs/>
          <w:sz w:val="28"/>
          <w:szCs w:val="28"/>
        </w:rPr>
        <w:t>内容</w:t>
      </w:r>
    </w:p>
    <w:tbl>
      <w:tblPr>
        <w:tblStyle w:val="2"/>
        <w:tblW w:w="9610" w:type="dxa"/>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188"/>
        <w:gridCol w:w="1332"/>
        <w:gridCol w:w="1524"/>
        <w:gridCol w:w="1746"/>
        <w:gridCol w:w="3820"/>
      </w:tblGrid>
      <w:tr w14:paraId="2D3CD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188" w:type="dxa"/>
            <w:noWrap w:val="0"/>
            <w:tcMar>
              <w:top w:w="150" w:type="dxa"/>
              <w:left w:w="0" w:type="dxa"/>
              <w:bottom w:w="150" w:type="dxa"/>
              <w:right w:w="240" w:type="dxa"/>
            </w:tcMar>
            <w:vAlign w:val="center"/>
          </w:tcPr>
          <w:p w14:paraId="45EDFC63">
            <w:pPr>
              <w:keepNext w:val="0"/>
              <w:keepLines w:val="0"/>
              <w:widowControl/>
              <w:suppressLineNumbers w:val="0"/>
              <w:jc w:val="center"/>
              <w:rPr>
                <w:rFonts w:hint="eastAsia" w:ascii="宋体" w:hAnsi="宋体" w:eastAsia="宋体" w:cs="宋体"/>
                <w:b/>
                <w:bCs/>
                <w:spacing w:val="-6"/>
              </w:rPr>
            </w:pPr>
            <w:r>
              <w:rPr>
                <w:rFonts w:hint="eastAsia" w:ascii="宋体" w:hAnsi="宋体" w:eastAsia="宋体" w:cs="宋体"/>
                <w:b/>
                <w:bCs/>
                <w:spacing w:val="-6"/>
                <w:kern w:val="0"/>
                <w:sz w:val="24"/>
                <w:szCs w:val="24"/>
                <w:lang w:val="en-US" w:eastAsia="zh-CN" w:bidi="ar"/>
              </w:rPr>
              <w:t>产品</w:t>
            </w:r>
          </w:p>
        </w:tc>
        <w:tc>
          <w:tcPr>
            <w:tcW w:w="1332" w:type="dxa"/>
            <w:noWrap w:val="0"/>
            <w:tcMar>
              <w:top w:w="150" w:type="dxa"/>
              <w:left w:w="240" w:type="dxa"/>
              <w:bottom w:w="150" w:type="dxa"/>
              <w:right w:w="240" w:type="dxa"/>
            </w:tcMar>
            <w:vAlign w:val="center"/>
          </w:tcPr>
          <w:p w14:paraId="40F0E016">
            <w:pPr>
              <w:keepNext w:val="0"/>
              <w:keepLines w:val="0"/>
              <w:widowControl/>
              <w:suppressLineNumbers w:val="0"/>
              <w:jc w:val="center"/>
              <w:rPr>
                <w:rFonts w:hint="eastAsia" w:ascii="宋体" w:hAnsi="宋体" w:eastAsia="宋体" w:cs="宋体"/>
                <w:b/>
                <w:bCs/>
                <w:spacing w:val="-6"/>
              </w:rPr>
            </w:pPr>
            <w:r>
              <w:rPr>
                <w:rFonts w:hint="eastAsia" w:ascii="宋体" w:hAnsi="宋体" w:eastAsia="宋体" w:cs="宋体"/>
                <w:b/>
                <w:bCs/>
                <w:spacing w:val="-6"/>
                <w:kern w:val="0"/>
                <w:sz w:val="24"/>
                <w:szCs w:val="24"/>
                <w:lang w:val="en-US" w:eastAsia="zh-CN" w:bidi="ar"/>
              </w:rPr>
              <w:t>业务分类</w:t>
            </w:r>
          </w:p>
        </w:tc>
        <w:tc>
          <w:tcPr>
            <w:tcW w:w="1524" w:type="dxa"/>
            <w:noWrap w:val="0"/>
            <w:tcMar>
              <w:top w:w="150" w:type="dxa"/>
              <w:left w:w="240" w:type="dxa"/>
              <w:bottom w:w="150" w:type="dxa"/>
              <w:right w:w="240" w:type="dxa"/>
            </w:tcMar>
            <w:vAlign w:val="center"/>
          </w:tcPr>
          <w:p w14:paraId="7900ED5B">
            <w:pPr>
              <w:keepNext w:val="0"/>
              <w:keepLines w:val="0"/>
              <w:widowControl/>
              <w:suppressLineNumbers w:val="0"/>
              <w:jc w:val="center"/>
              <w:rPr>
                <w:rFonts w:hint="eastAsia" w:ascii="宋体" w:hAnsi="宋体" w:eastAsia="宋体" w:cs="宋体"/>
                <w:b/>
                <w:bCs/>
                <w:spacing w:val="-6"/>
              </w:rPr>
            </w:pPr>
            <w:r>
              <w:rPr>
                <w:rFonts w:hint="eastAsia" w:ascii="宋体" w:hAnsi="宋体" w:eastAsia="宋体" w:cs="宋体"/>
                <w:b/>
                <w:bCs/>
                <w:spacing w:val="-6"/>
                <w:kern w:val="0"/>
                <w:sz w:val="24"/>
                <w:szCs w:val="24"/>
                <w:lang w:val="en-US" w:eastAsia="zh-CN" w:bidi="ar"/>
              </w:rPr>
              <w:t>功能/服务模块</w:t>
            </w:r>
          </w:p>
        </w:tc>
        <w:tc>
          <w:tcPr>
            <w:tcW w:w="1746" w:type="dxa"/>
            <w:noWrap w:val="0"/>
            <w:tcMar>
              <w:top w:w="150" w:type="dxa"/>
              <w:left w:w="240" w:type="dxa"/>
              <w:bottom w:w="150" w:type="dxa"/>
              <w:right w:w="240" w:type="dxa"/>
            </w:tcMar>
            <w:vAlign w:val="center"/>
          </w:tcPr>
          <w:p w14:paraId="771E7B47">
            <w:pPr>
              <w:keepNext w:val="0"/>
              <w:keepLines w:val="0"/>
              <w:widowControl/>
              <w:suppressLineNumbers w:val="0"/>
              <w:jc w:val="center"/>
              <w:rPr>
                <w:rFonts w:hint="eastAsia" w:ascii="宋体" w:hAnsi="宋体" w:eastAsia="宋体" w:cs="宋体"/>
                <w:b/>
                <w:bCs/>
                <w:spacing w:val="-6"/>
              </w:rPr>
            </w:pPr>
            <w:r>
              <w:rPr>
                <w:rFonts w:hint="eastAsia" w:ascii="宋体" w:hAnsi="宋体" w:eastAsia="宋体" w:cs="宋体"/>
                <w:b/>
                <w:bCs/>
                <w:spacing w:val="-6"/>
                <w:kern w:val="0"/>
                <w:sz w:val="24"/>
                <w:szCs w:val="24"/>
                <w:lang w:val="en-US" w:eastAsia="zh-CN" w:bidi="ar"/>
              </w:rPr>
              <w:t>子模块/服务细项</w:t>
            </w:r>
          </w:p>
        </w:tc>
        <w:tc>
          <w:tcPr>
            <w:tcW w:w="3820" w:type="dxa"/>
            <w:noWrap w:val="0"/>
            <w:tcMar>
              <w:top w:w="150" w:type="dxa"/>
              <w:left w:w="240" w:type="dxa"/>
              <w:bottom w:w="150" w:type="dxa"/>
              <w:right w:w="240" w:type="dxa"/>
            </w:tcMar>
            <w:vAlign w:val="center"/>
          </w:tcPr>
          <w:p w14:paraId="3EF282BA">
            <w:pPr>
              <w:keepNext w:val="0"/>
              <w:keepLines w:val="0"/>
              <w:widowControl/>
              <w:suppressLineNumbers w:val="0"/>
              <w:jc w:val="center"/>
              <w:rPr>
                <w:rFonts w:hint="eastAsia" w:ascii="宋体" w:hAnsi="宋体" w:eastAsia="宋体" w:cs="宋体"/>
                <w:b/>
                <w:bCs/>
                <w:spacing w:val="-6"/>
              </w:rPr>
            </w:pPr>
            <w:r>
              <w:rPr>
                <w:rFonts w:hint="eastAsia" w:ascii="宋体" w:hAnsi="宋体" w:eastAsia="宋体" w:cs="宋体"/>
                <w:b/>
                <w:bCs/>
                <w:spacing w:val="-6"/>
                <w:kern w:val="0"/>
                <w:sz w:val="24"/>
                <w:szCs w:val="24"/>
                <w:lang w:val="en-US" w:eastAsia="zh-CN" w:bidi="ar"/>
              </w:rPr>
              <w:t>服务内容及维保要求</w:t>
            </w:r>
          </w:p>
        </w:tc>
      </w:tr>
      <w:tr w14:paraId="669A9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46" w:hRule="atLeast"/>
        </w:trPr>
        <w:tc>
          <w:tcPr>
            <w:tcW w:w="1188" w:type="dxa"/>
            <w:noWrap w:val="0"/>
            <w:tcMar>
              <w:top w:w="150" w:type="dxa"/>
              <w:left w:w="0" w:type="dxa"/>
              <w:bottom w:w="150" w:type="dxa"/>
              <w:right w:w="240" w:type="dxa"/>
            </w:tcMar>
            <w:vAlign w:val="center"/>
          </w:tcPr>
          <w:p w14:paraId="317FBF82">
            <w:pPr>
              <w:keepNext w:val="0"/>
              <w:keepLines w:val="0"/>
              <w:widowControl/>
              <w:suppressLineNumbers w:val="0"/>
              <w:jc w:val="center"/>
              <w:rPr>
                <w:rFonts w:hint="eastAsia" w:ascii="宋体" w:hAnsi="宋体" w:eastAsia="宋体" w:cs="宋体"/>
                <w:sz w:val="20"/>
                <w:szCs w:val="18"/>
              </w:rPr>
            </w:pPr>
            <w:r>
              <w:rPr>
                <w:rStyle w:val="4"/>
                <w:rFonts w:hint="eastAsia" w:ascii="宋体" w:hAnsi="宋体" w:eastAsia="宋体" w:cs="宋体"/>
                <w:b/>
                <w:bCs/>
                <w:kern w:val="0"/>
                <w:sz w:val="22"/>
                <w:szCs w:val="22"/>
                <w:lang w:val="en-US" w:eastAsia="zh-CN" w:bidi="ar"/>
              </w:rPr>
              <w:t>手麻系统</w:t>
            </w:r>
          </w:p>
        </w:tc>
        <w:tc>
          <w:tcPr>
            <w:tcW w:w="1332" w:type="dxa"/>
            <w:noWrap w:val="0"/>
            <w:tcMar>
              <w:top w:w="150" w:type="dxa"/>
              <w:left w:w="240" w:type="dxa"/>
              <w:bottom w:w="150" w:type="dxa"/>
              <w:right w:w="240" w:type="dxa"/>
            </w:tcMar>
            <w:vAlign w:val="center"/>
          </w:tcPr>
          <w:p w14:paraId="014F6FBA">
            <w:pPr>
              <w:keepNext w:val="0"/>
              <w:keepLines w:val="0"/>
              <w:widowControl/>
              <w:suppressLineNumbers w:val="0"/>
              <w:jc w:val="center"/>
              <w:rPr>
                <w:rFonts w:hint="eastAsia" w:ascii="宋体" w:hAnsi="宋体" w:eastAsia="宋体" w:cs="宋体"/>
                <w:sz w:val="20"/>
                <w:szCs w:val="18"/>
              </w:rPr>
            </w:pPr>
            <w:r>
              <w:rPr>
                <w:rStyle w:val="4"/>
                <w:rFonts w:hint="eastAsia" w:ascii="宋体" w:hAnsi="宋体" w:eastAsia="宋体" w:cs="宋体"/>
                <w:b/>
                <w:bCs/>
                <w:kern w:val="0"/>
                <w:sz w:val="22"/>
                <w:szCs w:val="22"/>
                <w:lang w:val="en-US" w:eastAsia="zh-CN" w:bidi="ar"/>
              </w:rPr>
              <w:t>临床业务模块</w:t>
            </w:r>
          </w:p>
        </w:tc>
        <w:tc>
          <w:tcPr>
            <w:tcW w:w="1524" w:type="dxa"/>
            <w:noWrap w:val="0"/>
            <w:tcMar>
              <w:top w:w="150" w:type="dxa"/>
              <w:left w:w="240" w:type="dxa"/>
              <w:bottom w:w="150" w:type="dxa"/>
              <w:right w:w="240" w:type="dxa"/>
            </w:tcMar>
            <w:vAlign w:val="center"/>
          </w:tcPr>
          <w:p w14:paraId="00AB0E21">
            <w:pPr>
              <w:keepNext w:val="0"/>
              <w:keepLines w:val="0"/>
              <w:widowControl/>
              <w:suppressLineNumbers w:val="0"/>
              <w:jc w:val="both"/>
              <w:rPr>
                <w:rFonts w:hint="eastAsia" w:ascii="宋体" w:hAnsi="宋体" w:eastAsia="宋体" w:cs="宋体"/>
                <w:sz w:val="20"/>
                <w:szCs w:val="18"/>
              </w:rPr>
            </w:pPr>
            <w:r>
              <w:rPr>
                <w:rStyle w:val="4"/>
                <w:rFonts w:hint="eastAsia" w:ascii="宋体" w:hAnsi="宋体" w:eastAsia="宋体" w:cs="宋体"/>
                <w:b/>
                <w:bCs/>
                <w:kern w:val="0"/>
                <w:sz w:val="22"/>
                <w:szCs w:val="22"/>
                <w:lang w:val="en-US" w:eastAsia="zh-CN" w:bidi="ar"/>
              </w:rPr>
              <w:t>手术前准备</w:t>
            </w:r>
          </w:p>
        </w:tc>
        <w:tc>
          <w:tcPr>
            <w:tcW w:w="1746" w:type="dxa"/>
            <w:noWrap w:val="0"/>
            <w:tcMar>
              <w:top w:w="150" w:type="dxa"/>
              <w:left w:w="240" w:type="dxa"/>
              <w:bottom w:w="150" w:type="dxa"/>
              <w:right w:w="240" w:type="dxa"/>
            </w:tcMar>
            <w:vAlign w:val="center"/>
          </w:tcPr>
          <w:p w14:paraId="577951FD">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麻醉术前访视记录单</w:t>
            </w:r>
          </w:p>
        </w:tc>
        <w:tc>
          <w:tcPr>
            <w:tcW w:w="3820" w:type="dxa"/>
            <w:noWrap w:val="0"/>
            <w:tcMar>
              <w:top w:w="150" w:type="dxa"/>
              <w:left w:w="240" w:type="dxa"/>
              <w:bottom w:w="150" w:type="dxa"/>
              <w:right w:w="0" w:type="dxa"/>
            </w:tcMar>
            <w:vAlign w:val="center"/>
          </w:tcPr>
          <w:p w14:paraId="21C70FB9">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保障表单格式及电子病历归档正常；根据政策变化调整表单内容。</w:t>
            </w:r>
          </w:p>
        </w:tc>
      </w:tr>
      <w:tr w14:paraId="5E97F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88" w:type="dxa"/>
            <w:noWrap w:val="0"/>
            <w:tcMar>
              <w:top w:w="150" w:type="dxa"/>
              <w:left w:w="0" w:type="dxa"/>
              <w:bottom w:w="150" w:type="dxa"/>
              <w:right w:w="240" w:type="dxa"/>
            </w:tcMar>
            <w:vAlign w:val="center"/>
          </w:tcPr>
          <w:p w14:paraId="15CE1358">
            <w:pPr>
              <w:rPr>
                <w:rFonts w:hint="eastAsia" w:ascii="宋体" w:hAnsi="宋体" w:eastAsia="宋体" w:cs="宋体"/>
                <w:sz w:val="24"/>
                <w:szCs w:val="24"/>
              </w:rPr>
            </w:pPr>
          </w:p>
        </w:tc>
        <w:tc>
          <w:tcPr>
            <w:tcW w:w="1332" w:type="dxa"/>
            <w:noWrap w:val="0"/>
            <w:tcMar>
              <w:top w:w="150" w:type="dxa"/>
              <w:left w:w="240" w:type="dxa"/>
              <w:bottom w:w="150" w:type="dxa"/>
              <w:right w:w="240" w:type="dxa"/>
            </w:tcMar>
            <w:vAlign w:val="center"/>
          </w:tcPr>
          <w:p w14:paraId="025AFFC0">
            <w:pPr>
              <w:rPr>
                <w:rFonts w:hint="eastAsia" w:ascii="宋体" w:hAnsi="宋体" w:eastAsia="宋体" w:cs="宋体"/>
                <w:sz w:val="24"/>
                <w:szCs w:val="24"/>
              </w:rPr>
            </w:pPr>
          </w:p>
        </w:tc>
        <w:tc>
          <w:tcPr>
            <w:tcW w:w="1524" w:type="dxa"/>
            <w:noWrap w:val="0"/>
            <w:tcMar>
              <w:top w:w="150" w:type="dxa"/>
              <w:left w:w="240" w:type="dxa"/>
              <w:bottom w:w="150" w:type="dxa"/>
              <w:right w:w="240" w:type="dxa"/>
            </w:tcMar>
            <w:vAlign w:val="center"/>
          </w:tcPr>
          <w:p w14:paraId="61683918">
            <w:pPr>
              <w:rPr>
                <w:rFonts w:hint="eastAsia" w:ascii="宋体" w:hAnsi="宋体" w:eastAsia="宋体" w:cs="宋体"/>
                <w:sz w:val="24"/>
                <w:szCs w:val="24"/>
              </w:rPr>
            </w:pPr>
          </w:p>
        </w:tc>
        <w:tc>
          <w:tcPr>
            <w:tcW w:w="1746" w:type="dxa"/>
            <w:noWrap w:val="0"/>
            <w:tcMar>
              <w:top w:w="150" w:type="dxa"/>
              <w:left w:w="240" w:type="dxa"/>
              <w:bottom w:w="150" w:type="dxa"/>
              <w:right w:w="240" w:type="dxa"/>
            </w:tcMar>
            <w:vAlign w:val="center"/>
          </w:tcPr>
          <w:p w14:paraId="695532F3">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麻醉知情同意书</w:t>
            </w:r>
          </w:p>
        </w:tc>
        <w:tc>
          <w:tcPr>
            <w:tcW w:w="3820" w:type="dxa"/>
            <w:noWrap w:val="0"/>
            <w:tcMar>
              <w:top w:w="150" w:type="dxa"/>
              <w:left w:w="240" w:type="dxa"/>
              <w:bottom w:w="150" w:type="dxa"/>
              <w:right w:w="0" w:type="dxa"/>
            </w:tcMar>
            <w:vAlign w:val="center"/>
          </w:tcPr>
          <w:p w14:paraId="1376025D">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确保签名、文书及存储功能稳定。</w:t>
            </w:r>
          </w:p>
        </w:tc>
      </w:tr>
      <w:tr w14:paraId="69929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88" w:type="dxa"/>
            <w:noWrap w:val="0"/>
            <w:tcMar>
              <w:top w:w="150" w:type="dxa"/>
              <w:left w:w="0" w:type="dxa"/>
              <w:bottom w:w="150" w:type="dxa"/>
              <w:right w:w="240" w:type="dxa"/>
            </w:tcMar>
            <w:vAlign w:val="center"/>
          </w:tcPr>
          <w:p w14:paraId="69EF980C">
            <w:pPr>
              <w:rPr>
                <w:rFonts w:hint="eastAsia" w:ascii="宋体" w:hAnsi="宋体" w:eastAsia="宋体" w:cs="宋体"/>
                <w:sz w:val="24"/>
                <w:szCs w:val="24"/>
              </w:rPr>
            </w:pPr>
          </w:p>
        </w:tc>
        <w:tc>
          <w:tcPr>
            <w:tcW w:w="1332" w:type="dxa"/>
            <w:noWrap w:val="0"/>
            <w:tcMar>
              <w:top w:w="150" w:type="dxa"/>
              <w:left w:w="240" w:type="dxa"/>
              <w:bottom w:w="150" w:type="dxa"/>
              <w:right w:w="240" w:type="dxa"/>
            </w:tcMar>
            <w:vAlign w:val="center"/>
          </w:tcPr>
          <w:p w14:paraId="18638331">
            <w:pPr>
              <w:rPr>
                <w:rFonts w:hint="eastAsia" w:ascii="宋体" w:hAnsi="宋体" w:eastAsia="宋体" w:cs="宋体"/>
                <w:sz w:val="24"/>
                <w:szCs w:val="24"/>
              </w:rPr>
            </w:pPr>
          </w:p>
        </w:tc>
        <w:tc>
          <w:tcPr>
            <w:tcW w:w="1524" w:type="dxa"/>
            <w:noWrap w:val="0"/>
            <w:tcMar>
              <w:top w:w="150" w:type="dxa"/>
              <w:left w:w="240" w:type="dxa"/>
              <w:bottom w:w="150" w:type="dxa"/>
              <w:right w:w="240" w:type="dxa"/>
            </w:tcMar>
            <w:vAlign w:val="center"/>
          </w:tcPr>
          <w:p w14:paraId="2B3CA43B">
            <w:pPr>
              <w:rPr>
                <w:rFonts w:hint="eastAsia" w:ascii="宋体" w:hAnsi="宋体" w:eastAsia="宋体" w:cs="宋体"/>
                <w:sz w:val="24"/>
                <w:szCs w:val="24"/>
              </w:rPr>
            </w:pPr>
          </w:p>
        </w:tc>
        <w:tc>
          <w:tcPr>
            <w:tcW w:w="1746" w:type="dxa"/>
            <w:noWrap w:val="0"/>
            <w:tcMar>
              <w:top w:w="150" w:type="dxa"/>
              <w:left w:w="240" w:type="dxa"/>
              <w:bottom w:w="150" w:type="dxa"/>
              <w:right w:w="240" w:type="dxa"/>
            </w:tcMar>
            <w:vAlign w:val="center"/>
          </w:tcPr>
          <w:p w14:paraId="6563C999">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检验信息自动提取</w:t>
            </w:r>
          </w:p>
        </w:tc>
        <w:tc>
          <w:tcPr>
            <w:tcW w:w="3820" w:type="dxa"/>
            <w:noWrap w:val="0"/>
            <w:tcMar>
              <w:top w:w="150" w:type="dxa"/>
              <w:left w:w="240" w:type="dxa"/>
              <w:bottom w:w="150" w:type="dxa"/>
              <w:right w:w="0" w:type="dxa"/>
            </w:tcMar>
            <w:vAlign w:val="center"/>
          </w:tcPr>
          <w:p w14:paraId="5D7A1B28">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维护与LIS、PACS等系统的接口，确保患者检验结果自动同步。</w:t>
            </w:r>
          </w:p>
        </w:tc>
      </w:tr>
      <w:tr w14:paraId="3381C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88" w:type="dxa"/>
            <w:noWrap w:val="0"/>
            <w:tcMar>
              <w:top w:w="150" w:type="dxa"/>
              <w:left w:w="0" w:type="dxa"/>
              <w:bottom w:w="150" w:type="dxa"/>
              <w:right w:w="240" w:type="dxa"/>
            </w:tcMar>
            <w:vAlign w:val="center"/>
          </w:tcPr>
          <w:p w14:paraId="00F07B23">
            <w:pPr>
              <w:rPr>
                <w:rFonts w:hint="eastAsia" w:ascii="宋体" w:hAnsi="宋体" w:eastAsia="宋体" w:cs="宋体"/>
                <w:sz w:val="24"/>
                <w:szCs w:val="24"/>
              </w:rPr>
            </w:pPr>
          </w:p>
        </w:tc>
        <w:tc>
          <w:tcPr>
            <w:tcW w:w="1332" w:type="dxa"/>
            <w:noWrap w:val="0"/>
            <w:tcMar>
              <w:top w:w="150" w:type="dxa"/>
              <w:left w:w="240" w:type="dxa"/>
              <w:bottom w:w="150" w:type="dxa"/>
              <w:right w:w="240" w:type="dxa"/>
            </w:tcMar>
            <w:vAlign w:val="center"/>
          </w:tcPr>
          <w:p w14:paraId="55784BFC">
            <w:pPr>
              <w:rPr>
                <w:rFonts w:hint="eastAsia" w:ascii="宋体" w:hAnsi="宋体" w:eastAsia="宋体" w:cs="宋体"/>
                <w:sz w:val="24"/>
                <w:szCs w:val="24"/>
              </w:rPr>
            </w:pPr>
          </w:p>
        </w:tc>
        <w:tc>
          <w:tcPr>
            <w:tcW w:w="1524" w:type="dxa"/>
            <w:noWrap w:val="0"/>
            <w:tcMar>
              <w:top w:w="150" w:type="dxa"/>
              <w:left w:w="240" w:type="dxa"/>
              <w:bottom w:w="150" w:type="dxa"/>
              <w:right w:w="240" w:type="dxa"/>
            </w:tcMar>
            <w:vAlign w:val="center"/>
          </w:tcPr>
          <w:p w14:paraId="668B4398">
            <w:pPr>
              <w:rPr>
                <w:rFonts w:hint="eastAsia" w:ascii="宋体" w:hAnsi="宋体" w:eastAsia="宋体" w:cs="宋体"/>
                <w:sz w:val="24"/>
                <w:szCs w:val="24"/>
              </w:rPr>
            </w:pPr>
          </w:p>
        </w:tc>
        <w:tc>
          <w:tcPr>
            <w:tcW w:w="1746" w:type="dxa"/>
            <w:noWrap w:val="0"/>
            <w:tcMar>
              <w:top w:w="150" w:type="dxa"/>
              <w:left w:w="240" w:type="dxa"/>
              <w:bottom w:w="150" w:type="dxa"/>
              <w:right w:w="240" w:type="dxa"/>
            </w:tcMar>
            <w:vAlign w:val="center"/>
          </w:tcPr>
          <w:p w14:paraId="333EDAD8">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360调阅服务</w:t>
            </w:r>
          </w:p>
        </w:tc>
        <w:tc>
          <w:tcPr>
            <w:tcW w:w="3820" w:type="dxa"/>
            <w:noWrap w:val="0"/>
            <w:tcMar>
              <w:top w:w="150" w:type="dxa"/>
              <w:left w:w="240" w:type="dxa"/>
              <w:bottom w:w="150" w:type="dxa"/>
              <w:right w:w="0" w:type="dxa"/>
            </w:tcMar>
            <w:vAlign w:val="center"/>
          </w:tcPr>
          <w:p w14:paraId="432E0955">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确保能快速调阅患者全量临床数据，保障调阅速度及数据准确性。</w:t>
            </w:r>
          </w:p>
        </w:tc>
      </w:tr>
      <w:tr w14:paraId="5E420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88" w:type="dxa"/>
            <w:noWrap w:val="0"/>
            <w:tcMar>
              <w:top w:w="150" w:type="dxa"/>
              <w:left w:w="0" w:type="dxa"/>
              <w:bottom w:w="150" w:type="dxa"/>
              <w:right w:w="240" w:type="dxa"/>
            </w:tcMar>
            <w:vAlign w:val="center"/>
          </w:tcPr>
          <w:p w14:paraId="3C90BCC8">
            <w:pPr>
              <w:rPr>
                <w:rFonts w:hint="eastAsia" w:ascii="宋体" w:hAnsi="宋体" w:eastAsia="宋体" w:cs="宋体"/>
                <w:sz w:val="24"/>
                <w:szCs w:val="24"/>
              </w:rPr>
            </w:pPr>
          </w:p>
        </w:tc>
        <w:tc>
          <w:tcPr>
            <w:tcW w:w="1332" w:type="dxa"/>
            <w:noWrap w:val="0"/>
            <w:tcMar>
              <w:top w:w="150" w:type="dxa"/>
              <w:left w:w="240" w:type="dxa"/>
              <w:bottom w:w="150" w:type="dxa"/>
              <w:right w:w="240" w:type="dxa"/>
            </w:tcMar>
            <w:vAlign w:val="center"/>
          </w:tcPr>
          <w:p w14:paraId="756D03D8">
            <w:pPr>
              <w:rPr>
                <w:rFonts w:hint="eastAsia" w:ascii="宋体" w:hAnsi="宋体" w:eastAsia="宋体" w:cs="宋体"/>
                <w:sz w:val="24"/>
                <w:szCs w:val="24"/>
              </w:rPr>
            </w:pPr>
          </w:p>
        </w:tc>
        <w:tc>
          <w:tcPr>
            <w:tcW w:w="1524" w:type="dxa"/>
            <w:noWrap w:val="0"/>
            <w:tcMar>
              <w:top w:w="150" w:type="dxa"/>
              <w:left w:w="240" w:type="dxa"/>
              <w:bottom w:w="150" w:type="dxa"/>
              <w:right w:w="240" w:type="dxa"/>
            </w:tcMar>
            <w:vAlign w:val="center"/>
          </w:tcPr>
          <w:p w14:paraId="19AD6016">
            <w:pPr>
              <w:rPr>
                <w:rFonts w:hint="eastAsia" w:ascii="宋体" w:hAnsi="宋体" w:eastAsia="宋体" w:cs="宋体"/>
                <w:sz w:val="24"/>
                <w:szCs w:val="24"/>
              </w:rPr>
            </w:pPr>
          </w:p>
        </w:tc>
        <w:tc>
          <w:tcPr>
            <w:tcW w:w="1746" w:type="dxa"/>
            <w:noWrap w:val="0"/>
            <w:tcMar>
              <w:top w:w="150" w:type="dxa"/>
              <w:left w:w="240" w:type="dxa"/>
              <w:bottom w:w="150" w:type="dxa"/>
              <w:right w:w="240" w:type="dxa"/>
            </w:tcMar>
            <w:vAlign w:val="center"/>
          </w:tcPr>
          <w:p w14:paraId="3781664F">
            <w:pPr>
              <w:keepNext w:val="0"/>
              <w:keepLines w:val="0"/>
              <w:widowControl/>
              <w:suppressLineNumbers w:val="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2"/>
              </w:rPr>
              <w:t>急诊手术信息登记</w:t>
            </w:r>
          </w:p>
        </w:tc>
        <w:tc>
          <w:tcPr>
            <w:tcW w:w="3820" w:type="dxa"/>
            <w:noWrap w:val="0"/>
            <w:tcMar>
              <w:top w:w="150" w:type="dxa"/>
              <w:left w:w="240" w:type="dxa"/>
              <w:bottom w:w="150" w:type="dxa"/>
              <w:right w:w="0" w:type="dxa"/>
            </w:tcMar>
            <w:vAlign w:val="center"/>
          </w:tcPr>
          <w:p w14:paraId="7D6B26F1">
            <w:pPr>
              <w:keepNext w:val="0"/>
              <w:keepLines w:val="0"/>
              <w:widowControl/>
              <w:suppressLineNumbers w:val="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2"/>
              </w:rPr>
              <w:t>急诊手术信息登记</w:t>
            </w:r>
          </w:p>
        </w:tc>
      </w:tr>
      <w:tr w14:paraId="1D2C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88" w:type="dxa"/>
            <w:noWrap w:val="0"/>
            <w:tcMar>
              <w:top w:w="150" w:type="dxa"/>
              <w:left w:w="0" w:type="dxa"/>
              <w:bottom w:w="150" w:type="dxa"/>
              <w:right w:w="240" w:type="dxa"/>
            </w:tcMar>
            <w:vAlign w:val="center"/>
          </w:tcPr>
          <w:p w14:paraId="2D94F04D">
            <w:pPr>
              <w:rPr>
                <w:rFonts w:hint="eastAsia" w:ascii="宋体" w:hAnsi="宋体" w:eastAsia="宋体" w:cs="宋体"/>
                <w:sz w:val="24"/>
                <w:szCs w:val="24"/>
              </w:rPr>
            </w:pPr>
          </w:p>
        </w:tc>
        <w:tc>
          <w:tcPr>
            <w:tcW w:w="1332" w:type="dxa"/>
            <w:noWrap w:val="0"/>
            <w:tcMar>
              <w:top w:w="150" w:type="dxa"/>
              <w:left w:w="240" w:type="dxa"/>
              <w:bottom w:w="150" w:type="dxa"/>
              <w:right w:w="240" w:type="dxa"/>
            </w:tcMar>
            <w:vAlign w:val="center"/>
          </w:tcPr>
          <w:p w14:paraId="5519DB78">
            <w:pPr>
              <w:rPr>
                <w:rFonts w:hint="eastAsia" w:ascii="宋体" w:hAnsi="宋体" w:eastAsia="宋体" w:cs="宋体"/>
                <w:sz w:val="24"/>
                <w:szCs w:val="24"/>
              </w:rPr>
            </w:pPr>
          </w:p>
        </w:tc>
        <w:tc>
          <w:tcPr>
            <w:tcW w:w="1524" w:type="dxa"/>
            <w:noWrap w:val="0"/>
            <w:tcMar>
              <w:top w:w="150" w:type="dxa"/>
              <w:left w:w="240" w:type="dxa"/>
              <w:bottom w:w="150" w:type="dxa"/>
              <w:right w:w="240" w:type="dxa"/>
            </w:tcMar>
            <w:vAlign w:val="center"/>
          </w:tcPr>
          <w:p w14:paraId="66C3315C">
            <w:pPr>
              <w:keepNext w:val="0"/>
              <w:keepLines w:val="0"/>
              <w:widowControl/>
              <w:suppressLineNumbers w:val="0"/>
              <w:jc w:val="left"/>
              <w:rPr>
                <w:rFonts w:hint="eastAsia" w:ascii="宋体" w:hAnsi="宋体" w:eastAsia="宋体" w:cs="宋体"/>
              </w:rPr>
            </w:pPr>
            <w:r>
              <w:rPr>
                <w:rStyle w:val="4"/>
                <w:rFonts w:hint="eastAsia" w:ascii="宋体" w:hAnsi="宋体" w:eastAsia="宋体" w:cs="宋体"/>
                <w:b/>
                <w:bCs/>
                <w:kern w:val="0"/>
                <w:sz w:val="24"/>
                <w:szCs w:val="24"/>
                <w:lang w:val="en-US" w:eastAsia="zh-CN" w:bidi="ar"/>
              </w:rPr>
              <w:t>手术中</w:t>
            </w:r>
          </w:p>
        </w:tc>
        <w:tc>
          <w:tcPr>
            <w:tcW w:w="1746" w:type="dxa"/>
            <w:noWrap w:val="0"/>
            <w:tcMar>
              <w:top w:w="150" w:type="dxa"/>
              <w:left w:w="240" w:type="dxa"/>
              <w:bottom w:w="150" w:type="dxa"/>
              <w:right w:w="240" w:type="dxa"/>
            </w:tcMar>
            <w:vAlign w:val="center"/>
          </w:tcPr>
          <w:p w14:paraId="63ADAA70">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麻醉记录单</w:t>
            </w:r>
          </w:p>
        </w:tc>
        <w:tc>
          <w:tcPr>
            <w:tcW w:w="3820" w:type="dxa"/>
            <w:noWrap w:val="0"/>
            <w:tcMar>
              <w:top w:w="150" w:type="dxa"/>
              <w:left w:w="240" w:type="dxa"/>
              <w:bottom w:w="150" w:type="dxa"/>
              <w:right w:w="0" w:type="dxa"/>
            </w:tcMar>
            <w:vAlign w:val="center"/>
          </w:tcPr>
          <w:p w14:paraId="429D3117">
            <w:pPr>
              <w:keepNext w:val="0"/>
              <w:keepLines w:val="0"/>
              <w:widowControl/>
              <w:suppressLineNumbers w:val="0"/>
              <w:jc w:val="left"/>
              <w:rPr>
                <w:rFonts w:hint="eastAsia" w:ascii="宋体" w:hAnsi="宋体" w:eastAsia="宋体" w:cs="宋体"/>
              </w:rPr>
            </w:pPr>
            <w:r>
              <w:rPr>
                <w:rStyle w:val="4"/>
                <w:rFonts w:hint="eastAsia" w:ascii="宋体" w:hAnsi="宋体" w:eastAsia="宋体" w:cs="宋体"/>
                <w:b/>
                <w:bCs/>
                <w:kern w:val="0"/>
                <w:sz w:val="24"/>
                <w:szCs w:val="24"/>
                <w:lang w:val="en-US" w:eastAsia="zh-CN" w:bidi="ar"/>
              </w:rPr>
              <w:t>保障</w:t>
            </w:r>
            <w:r>
              <w:rPr>
                <w:rFonts w:hint="eastAsia" w:ascii="宋体" w:hAnsi="宋体" w:eastAsia="宋体" w:cs="宋体"/>
                <w:kern w:val="0"/>
                <w:sz w:val="24"/>
                <w:szCs w:val="24"/>
                <w:lang w:val="en-US" w:eastAsia="zh-CN" w:bidi="ar"/>
              </w:rPr>
              <w:t>：确保术中生命体征数据实时、准确采集与记录。</w:t>
            </w:r>
          </w:p>
        </w:tc>
      </w:tr>
      <w:tr w14:paraId="08620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88" w:type="dxa"/>
            <w:noWrap w:val="0"/>
            <w:tcMar>
              <w:top w:w="150" w:type="dxa"/>
              <w:left w:w="0" w:type="dxa"/>
              <w:bottom w:w="150" w:type="dxa"/>
              <w:right w:w="240" w:type="dxa"/>
            </w:tcMar>
            <w:vAlign w:val="center"/>
          </w:tcPr>
          <w:p w14:paraId="5903F14E">
            <w:pPr>
              <w:rPr>
                <w:rFonts w:hint="eastAsia" w:ascii="宋体" w:hAnsi="宋体" w:eastAsia="宋体" w:cs="宋体"/>
                <w:sz w:val="24"/>
                <w:szCs w:val="24"/>
              </w:rPr>
            </w:pPr>
          </w:p>
        </w:tc>
        <w:tc>
          <w:tcPr>
            <w:tcW w:w="1332" w:type="dxa"/>
            <w:noWrap w:val="0"/>
            <w:tcMar>
              <w:top w:w="150" w:type="dxa"/>
              <w:left w:w="240" w:type="dxa"/>
              <w:bottom w:w="150" w:type="dxa"/>
              <w:right w:w="240" w:type="dxa"/>
            </w:tcMar>
            <w:vAlign w:val="center"/>
          </w:tcPr>
          <w:p w14:paraId="4C303878">
            <w:pPr>
              <w:rPr>
                <w:rFonts w:hint="eastAsia" w:ascii="宋体" w:hAnsi="宋体" w:eastAsia="宋体" w:cs="宋体"/>
                <w:sz w:val="24"/>
                <w:szCs w:val="24"/>
              </w:rPr>
            </w:pPr>
          </w:p>
        </w:tc>
        <w:tc>
          <w:tcPr>
            <w:tcW w:w="1524" w:type="dxa"/>
            <w:noWrap w:val="0"/>
            <w:tcMar>
              <w:top w:w="150" w:type="dxa"/>
              <w:left w:w="240" w:type="dxa"/>
              <w:bottom w:w="150" w:type="dxa"/>
              <w:right w:w="240" w:type="dxa"/>
            </w:tcMar>
            <w:vAlign w:val="center"/>
          </w:tcPr>
          <w:p w14:paraId="715A3549">
            <w:pPr>
              <w:rPr>
                <w:rFonts w:hint="eastAsia" w:ascii="宋体" w:hAnsi="宋体" w:eastAsia="宋体" w:cs="宋体"/>
                <w:sz w:val="24"/>
                <w:szCs w:val="24"/>
              </w:rPr>
            </w:pPr>
          </w:p>
        </w:tc>
        <w:tc>
          <w:tcPr>
            <w:tcW w:w="1746" w:type="dxa"/>
            <w:noWrap w:val="0"/>
            <w:tcMar>
              <w:top w:w="150" w:type="dxa"/>
              <w:left w:w="240" w:type="dxa"/>
              <w:bottom w:w="150" w:type="dxa"/>
              <w:right w:w="240" w:type="dxa"/>
            </w:tcMar>
            <w:vAlign w:val="center"/>
          </w:tcPr>
          <w:p w14:paraId="3D7B7B96">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体征数据自动采集</w:t>
            </w:r>
          </w:p>
        </w:tc>
        <w:tc>
          <w:tcPr>
            <w:tcW w:w="3820" w:type="dxa"/>
            <w:noWrap w:val="0"/>
            <w:tcMar>
              <w:top w:w="150" w:type="dxa"/>
              <w:left w:w="240" w:type="dxa"/>
              <w:bottom w:w="150" w:type="dxa"/>
              <w:right w:w="0" w:type="dxa"/>
            </w:tcMar>
            <w:vAlign w:val="center"/>
          </w:tcPr>
          <w:p w14:paraId="0CF74E53">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维护与监护仪医疗设备的接口，保证数据能正常采集。</w:t>
            </w:r>
          </w:p>
        </w:tc>
      </w:tr>
      <w:tr w14:paraId="2D0E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88" w:type="dxa"/>
            <w:noWrap w:val="0"/>
            <w:tcMar>
              <w:top w:w="150" w:type="dxa"/>
              <w:left w:w="0" w:type="dxa"/>
              <w:bottom w:w="150" w:type="dxa"/>
              <w:right w:w="240" w:type="dxa"/>
            </w:tcMar>
            <w:vAlign w:val="center"/>
          </w:tcPr>
          <w:p w14:paraId="3C8EF2DE">
            <w:pPr>
              <w:rPr>
                <w:rFonts w:hint="eastAsia" w:ascii="宋体" w:hAnsi="宋体" w:eastAsia="宋体" w:cs="宋体"/>
                <w:sz w:val="24"/>
                <w:szCs w:val="24"/>
              </w:rPr>
            </w:pPr>
          </w:p>
        </w:tc>
        <w:tc>
          <w:tcPr>
            <w:tcW w:w="1332" w:type="dxa"/>
            <w:noWrap w:val="0"/>
            <w:tcMar>
              <w:top w:w="150" w:type="dxa"/>
              <w:left w:w="240" w:type="dxa"/>
              <w:bottom w:w="150" w:type="dxa"/>
              <w:right w:w="240" w:type="dxa"/>
            </w:tcMar>
            <w:vAlign w:val="center"/>
          </w:tcPr>
          <w:p w14:paraId="630DDDE5">
            <w:pPr>
              <w:rPr>
                <w:rFonts w:hint="eastAsia" w:ascii="宋体" w:hAnsi="宋体" w:eastAsia="宋体" w:cs="宋体"/>
                <w:sz w:val="24"/>
                <w:szCs w:val="24"/>
              </w:rPr>
            </w:pPr>
          </w:p>
        </w:tc>
        <w:tc>
          <w:tcPr>
            <w:tcW w:w="1524" w:type="dxa"/>
            <w:noWrap w:val="0"/>
            <w:tcMar>
              <w:top w:w="150" w:type="dxa"/>
              <w:left w:w="240" w:type="dxa"/>
              <w:bottom w:w="150" w:type="dxa"/>
              <w:right w:w="240" w:type="dxa"/>
            </w:tcMar>
            <w:vAlign w:val="center"/>
          </w:tcPr>
          <w:p w14:paraId="34FAEA84">
            <w:pPr>
              <w:rPr>
                <w:rFonts w:hint="eastAsia" w:ascii="宋体" w:hAnsi="宋体" w:eastAsia="宋体" w:cs="宋体"/>
                <w:sz w:val="24"/>
                <w:szCs w:val="24"/>
              </w:rPr>
            </w:pPr>
          </w:p>
        </w:tc>
        <w:tc>
          <w:tcPr>
            <w:tcW w:w="1746" w:type="dxa"/>
            <w:noWrap w:val="0"/>
            <w:tcMar>
              <w:top w:w="150" w:type="dxa"/>
              <w:left w:w="240" w:type="dxa"/>
              <w:bottom w:w="150" w:type="dxa"/>
              <w:right w:w="240" w:type="dxa"/>
            </w:tcMar>
            <w:vAlign w:val="center"/>
          </w:tcPr>
          <w:p w14:paraId="1646E105">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术中用药/事件记录</w:t>
            </w:r>
          </w:p>
        </w:tc>
        <w:tc>
          <w:tcPr>
            <w:tcW w:w="3820" w:type="dxa"/>
            <w:noWrap w:val="0"/>
            <w:tcMar>
              <w:top w:w="150" w:type="dxa"/>
              <w:left w:w="240" w:type="dxa"/>
              <w:bottom w:w="150" w:type="dxa"/>
              <w:right w:w="0" w:type="dxa"/>
            </w:tcMar>
            <w:vAlign w:val="center"/>
          </w:tcPr>
          <w:p w14:paraId="274827C9">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保障术中用药、输血及事件的记录功能。</w:t>
            </w:r>
          </w:p>
        </w:tc>
      </w:tr>
      <w:tr w14:paraId="00A0F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88" w:type="dxa"/>
            <w:noWrap w:val="0"/>
            <w:tcMar>
              <w:top w:w="150" w:type="dxa"/>
              <w:left w:w="0" w:type="dxa"/>
              <w:bottom w:w="150" w:type="dxa"/>
              <w:right w:w="240" w:type="dxa"/>
            </w:tcMar>
            <w:vAlign w:val="center"/>
          </w:tcPr>
          <w:p w14:paraId="3AF95CD3">
            <w:pPr>
              <w:rPr>
                <w:rFonts w:hint="eastAsia" w:ascii="宋体" w:hAnsi="宋体" w:eastAsia="宋体" w:cs="宋体"/>
                <w:sz w:val="24"/>
                <w:szCs w:val="24"/>
              </w:rPr>
            </w:pPr>
          </w:p>
        </w:tc>
        <w:tc>
          <w:tcPr>
            <w:tcW w:w="1332" w:type="dxa"/>
            <w:noWrap w:val="0"/>
            <w:tcMar>
              <w:top w:w="150" w:type="dxa"/>
              <w:left w:w="240" w:type="dxa"/>
              <w:bottom w:w="150" w:type="dxa"/>
              <w:right w:w="240" w:type="dxa"/>
            </w:tcMar>
            <w:vAlign w:val="center"/>
          </w:tcPr>
          <w:p w14:paraId="7D9B65B7">
            <w:pPr>
              <w:rPr>
                <w:rFonts w:hint="eastAsia" w:ascii="宋体" w:hAnsi="宋体" w:eastAsia="宋体" w:cs="宋体"/>
                <w:sz w:val="24"/>
                <w:szCs w:val="24"/>
              </w:rPr>
            </w:pPr>
          </w:p>
        </w:tc>
        <w:tc>
          <w:tcPr>
            <w:tcW w:w="1524" w:type="dxa"/>
            <w:noWrap w:val="0"/>
            <w:tcMar>
              <w:top w:w="150" w:type="dxa"/>
              <w:left w:w="240" w:type="dxa"/>
              <w:bottom w:w="150" w:type="dxa"/>
              <w:right w:w="240" w:type="dxa"/>
            </w:tcMar>
            <w:vAlign w:val="center"/>
          </w:tcPr>
          <w:p w14:paraId="734313E8">
            <w:pPr>
              <w:keepNext w:val="0"/>
              <w:keepLines w:val="0"/>
              <w:widowControl/>
              <w:suppressLineNumbers w:val="0"/>
              <w:jc w:val="left"/>
              <w:rPr>
                <w:rFonts w:hint="eastAsia" w:ascii="宋体" w:hAnsi="宋体" w:eastAsia="宋体" w:cs="宋体"/>
              </w:rPr>
            </w:pPr>
            <w:r>
              <w:rPr>
                <w:rStyle w:val="4"/>
                <w:rFonts w:hint="eastAsia" w:ascii="宋体" w:hAnsi="宋体" w:eastAsia="宋体" w:cs="宋体"/>
                <w:b/>
                <w:bCs/>
                <w:kern w:val="0"/>
                <w:sz w:val="24"/>
                <w:szCs w:val="24"/>
                <w:lang w:val="en-US" w:eastAsia="zh-CN" w:bidi="ar"/>
              </w:rPr>
              <w:t>手术后</w:t>
            </w:r>
          </w:p>
        </w:tc>
        <w:tc>
          <w:tcPr>
            <w:tcW w:w="1746" w:type="dxa"/>
            <w:noWrap w:val="0"/>
            <w:tcMar>
              <w:top w:w="150" w:type="dxa"/>
              <w:left w:w="240" w:type="dxa"/>
              <w:bottom w:w="150" w:type="dxa"/>
              <w:right w:w="240" w:type="dxa"/>
            </w:tcMar>
            <w:vAlign w:val="center"/>
          </w:tcPr>
          <w:p w14:paraId="2925EDC2">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术后随访记录单</w:t>
            </w:r>
          </w:p>
        </w:tc>
        <w:tc>
          <w:tcPr>
            <w:tcW w:w="3820" w:type="dxa"/>
            <w:noWrap w:val="0"/>
            <w:tcMar>
              <w:top w:w="150" w:type="dxa"/>
              <w:left w:w="240" w:type="dxa"/>
              <w:bottom w:w="150" w:type="dxa"/>
              <w:right w:w="0" w:type="dxa"/>
            </w:tcMar>
            <w:vAlign w:val="center"/>
          </w:tcPr>
          <w:p w14:paraId="65181FFF">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确保随访表单的录入、查询正常。</w:t>
            </w:r>
          </w:p>
        </w:tc>
      </w:tr>
      <w:tr w14:paraId="583F4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88" w:type="dxa"/>
            <w:noWrap w:val="0"/>
            <w:tcMar>
              <w:top w:w="150" w:type="dxa"/>
              <w:left w:w="0" w:type="dxa"/>
              <w:bottom w:w="150" w:type="dxa"/>
              <w:right w:w="240" w:type="dxa"/>
            </w:tcMar>
            <w:vAlign w:val="center"/>
          </w:tcPr>
          <w:p w14:paraId="5E9590FA">
            <w:pPr>
              <w:rPr>
                <w:rFonts w:hint="eastAsia" w:ascii="宋体" w:hAnsi="宋体" w:eastAsia="宋体" w:cs="宋体"/>
                <w:sz w:val="24"/>
                <w:szCs w:val="24"/>
              </w:rPr>
            </w:pPr>
          </w:p>
        </w:tc>
        <w:tc>
          <w:tcPr>
            <w:tcW w:w="1332" w:type="dxa"/>
            <w:noWrap w:val="0"/>
            <w:tcMar>
              <w:top w:w="150" w:type="dxa"/>
              <w:left w:w="240" w:type="dxa"/>
              <w:bottom w:w="150" w:type="dxa"/>
              <w:right w:w="240" w:type="dxa"/>
            </w:tcMar>
            <w:vAlign w:val="center"/>
          </w:tcPr>
          <w:p w14:paraId="6501D259">
            <w:pPr>
              <w:rPr>
                <w:rFonts w:hint="eastAsia" w:ascii="宋体" w:hAnsi="宋体" w:eastAsia="宋体" w:cs="宋体"/>
                <w:sz w:val="24"/>
                <w:szCs w:val="24"/>
              </w:rPr>
            </w:pPr>
          </w:p>
        </w:tc>
        <w:tc>
          <w:tcPr>
            <w:tcW w:w="1524" w:type="dxa"/>
            <w:noWrap w:val="0"/>
            <w:tcMar>
              <w:top w:w="150" w:type="dxa"/>
              <w:left w:w="240" w:type="dxa"/>
              <w:bottom w:w="150" w:type="dxa"/>
              <w:right w:w="240" w:type="dxa"/>
            </w:tcMar>
            <w:vAlign w:val="center"/>
          </w:tcPr>
          <w:p w14:paraId="6488F175">
            <w:pPr>
              <w:keepNext w:val="0"/>
              <w:keepLines w:val="0"/>
              <w:widowControl/>
              <w:suppressLineNumbers w:val="0"/>
              <w:jc w:val="left"/>
              <w:rPr>
                <w:rStyle w:val="4"/>
                <w:rFonts w:hint="eastAsia" w:ascii="宋体" w:hAnsi="宋体" w:eastAsia="宋体" w:cs="宋体"/>
                <w:b/>
                <w:bCs/>
                <w:kern w:val="0"/>
                <w:sz w:val="24"/>
                <w:szCs w:val="24"/>
                <w:lang w:val="en-US" w:eastAsia="zh-CN" w:bidi="ar"/>
              </w:rPr>
            </w:pPr>
          </w:p>
        </w:tc>
        <w:tc>
          <w:tcPr>
            <w:tcW w:w="1746" w:type="dxa"/>
            <w:noWrap w:val="0"/>
            <w:tcMar>
              <w:top w:w="150" w:type="dxa"/>
              <w:left w:w="240" w:type="dxa"/>
              <w:bottom w:w="150" w:type="dxa"/>
              <w:right w:w="240" w:type="dxa"/>
            </w:tcMar>
            <w:vAlign w:val="center"/>
          </w:tcPr>
          <w:p w14:paraId="7323605C">
            <w:pPr>
              <w:keepNext w:val="0"/>
              <w:keepLines w:val="0"/>
              <w:widowControl/>
              <w:suppressLineNumbers w:val="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2"/>
              </w:rPr>
              <w:t>术后复苏记录功能</w:t>
            </w:r>
          </w:p>
        </w:tc>
        <w:tc>
          <w:tcPr>
            <w:tcW w:w="3820" w:type="dxa"/>
            <w:noWrap w:val="0"/>
            <w:tcMar>
              <w:top w:w="150" w:type="dxa"/>
              <w:left w:w="240" w:type="dxa"/>
              <w:bottom w:w="150" w:type="dxa"/>
              <w:right w:w="0" w:type="dxa"/>
            </w:tcMar>
            <w:vAlign w:val="center"/>
          </w:tcPr>
          <w:p w14:paraId="6AB758D5">
            <w:pPr>
              <w:keepNext w:val="0"/>
              <w:keepLines w:val="0"/>
              <w:widowControl/>
              <w:suppressLineNumbers w:val="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PACU术后复苏单</w:t>
            </w:r>
          </w:p>
        </w:tc>
      </w:tr>
      <w:tr w14:paraId="5F9D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88" w:type="dxa"/>
            <w:noWrap w:val="0"/>
            <w:tcMar>
              <w:top w:w="150" w:type="dxa"/>
              <w:left w:w="0" w:type="dxa"/>
              <w:bottom w:w="150" w:type="dxa"/>
              <w:right w:w="240" w:type="dxa"/>
            </w:tcMar>
            <w:vAlign w:val="center"/>
          </w:tcPr>
          <w:p w14:paraId="142FCA49">
            <w:pPr>
              <w:rPr>
                <w:rFonts w:hint="eastAsia" w:ascii="宋体" w:hAnsi="宋体" w:eastAsia="宋体" w:cs="宋体"/>
                <w:sz w:val="24"/>
                <w:szCs w:val="24"/>
              </w:rPr>
            </w:pPr>
          </w:p>
        </w:tc>
        <w:tc>
          <w:tcPr>
            <w:tcW w:w="1332" w:type="dxa"/>
            <w:noWrap w:val="0"/>
            <w:tcMar>
              <w:top w:w="150" w:type="dxa"/>
              <w:left w:w="240" w:type="dxa"/>
              <w:bottom w:w="150" w:type="dxa"/>
              <w:right w:w="240" w:type="dxa"/>
            </w:tcMar>
            <w:vAlign w:val="center"/>
          </w:tcPr>
          <w:p w14:paraId="44D56097">
            <w:pPr>
              <w:rPr>
                <w:rFonts w:hint="eastAsia" w:ascii="宋体" w:hAnsi="宋体" w:eastAsia="宋体" w:cs="宋体"/>
                <w:sz w:val="24"/>
                <w:szCs w:val="24"/>
              </w:rPr>
            </w:pPr>
          </w:p>
        </w:tc>
        <w:tc>
          <w:tcPr>
            <w:tcW w:w="1524" w:type="dxa"/>
            <w:noWrap w:val="0"/>
            <w:tcMar>
              <w:top w:w="150" w:type="dxa"/>
              <w:left w:w="240" w:type="dxa"/>
              <w:bottom w:w="150" w:type="dxa"/>
              <w:right w:w="240" w:type="dxa"/>
            </w:tcMar>
            <w:vAlign w:val="center"/>
          </w:tcPr>
          <w:p w14:paraId="66A307CE">
            <w:pPr>
              <w:keepNext w:val="0"/>
              <w:keepLines w:val="0"/>
              <w:widowControl/>
              <w:suppressLineNumbers w:val="0"/>
              <w:jc w:val="left"/>
              <w:rPr>
                <w:rFonts w:hint="eastAsia" w:ascii="宋体" w:hAnsi="宋体" w:eastAsia="宋体" w:cs="宋体"/>
              </w:rPr>
            </w:pPr>
            <w:r>
              <w:rPr>
                <w:rStyle w:val="4"/>
                <w:rFonts w:hint="eastAsia" w:ascii="宋体" w:hAnsi="宋体" w:eastAsia="宋体" w:cs="宋体"/>
                <w:b/>
                <w:bCs/>
                <w:kern w:val="0"/>
                <w:sz w:val="24"/>
                <w:szCs w:val="24"/>
                <w:lang w:val="en-US" w:eastAsia="zh-CN" w:bidi="ar"/>
              </w:rPr>
              <w:t>统计与分析</w:t>
            </w:r>
          </w:p>
        </w:tc>
        <w:tc>
          <w:tcPr>
            <w:tcW w:w="1746" w:type="dxa"/>
            <w:noWrap w:val="0"/>
            <w:tcMar>
              <w:top w:w="150" w:type="dxa"/>
              <w:left w:w="240" w:type="dxa"/>
              <w:bottom w:w="150" w:type="dxa"/>
              <w:right w:w="240" w:type="dxa"/>
            </w:tcMar>
            <w:vAlign w:val="center"/>
          </w:tcPr>
          <w:p w14:paraId="6B44DB67">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麻醉临床信息统计</w:t>
            </w:r>
          </w:p>
        </w:tc>
        <w:tc>
          <w:tcPr>
            <w:tcW w:w="3820" w:type="dxa"/>
            <w:noWrap w:val="0"/>
            <w:tcMar>
              <w:top w:w="150" w:type="dxa"/>
              <w:left w:w="240" w:type="dxa"/>
              <w:bottom w:w="150" w:type="dxa"/>
              <w:right w:w="0" w:type="dxa"/>
            </w:tcMar>
            <w:vAlign w:val="center"/>
          </w:tcPr>
          <w:p w14:paraId="32C1E27D">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提供麻醉手术查询等数据的统计查询功能</w:t>
            </w:r>
          </w:p>
        </w:tc>
      </w:tr>
      <w:tr w14:paraId="0928F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88" w:type="dxa"/>
            <w:noWrap w:val="0"/>
            <w:tcMar>
              <w:top w:w="150" w:type="dxa"/>
              <w:left w:w="0" w:type="dxa"/>
              <w:bottom w:w="150" w:type="dxa"/>
              <w:right w:w="240" w:type="dxa"/>
            </w:tcMar>
            <w:vAlign w:val="center"/>
          </w:tcPr>
          <w:p w14:paraId="25BC366E">
            <w:pPr>
              <w:rPr>
                <w:rFonts w:hint="eastAsia" w:ascii="宋体" w:hAnsi="宋体" w:eastAsia="宋体" w:cs="宋体"/>
                <w:sz w:val="24"/>
                <w:szCs w:val="24"/>
              </w:rPr>
            </w:pPr>
          </w:p>
        </w:tc>
        <w:tc>
          <w:tcPr>
            <w:tcW w:w="1332" w:type="dxa"/>
            <w:noWrap w:val="0"/>
            <w:tcMar>
              <w:top w:w="150" w:type="dxa"/>
              <w:left w:w="240" w:type="dxa"/>
              <w:bottom w:w="150" w:type="dxa"/>
              <w:right w:w="240" w:type="dxa"/>
            </w:tcMar>
            <w:vAlign w:val="center"/>
          </w:tcPr>
          <w:p w14:paraId="192F93F8">
            <w:pPr>
              <w:rPr>
                <w:rFonts w:hint="eastAsia" w:ascii="宋体" w:hAnsi="宋体" w:eastAsia="宋体" w:cs="宋体"/>
                <w:sz w:val="24"/>
                <w:szCs w:val="24"/>
              </w:rPr>
            </w:pPr>
          </w:p>
        </w:tc>
        <w:tc>
          <w:tcPr>
            <w:tcW w:w="1524" w:type="dxa"/>
            <w:noWrap w:val="0"/>
            <w:tcMar>
              <w:top w:w="150" w:type="dxa"/>
              <w:left w:w="240" w:type="dxa"/>
              <w:bottom w:w="150" w:type="dxa"/>
              <w:right w:w="240" w:type="dxa"/>
            </w:tcMar>
            <w:vAlign w:val="center"/>
          </w:tcPr>
          <w:p w14:paraId="4D4D9FEF">
            <w:pPr>
              <w:keepNext w:val="0"/>
              <w:keepLines w:val="0"/>
              <w:widowControl/>
              <w:suppressLineNumbers w:val="0"/>
              <w:jc w:val="left"/>
              <w:rPr>
                <w:rStyle w:val="4"/>
                <w:rFonts w:hint="eastAsia" w:ascii="宋体" w:hAnsi="宋体" w:eastAsia="宋体" w:cs="宋体"/>
                <w:b/>
                <w:bCs/>
                <w:kern w:val="0"/>
                <w:sz w:val="24"/>
                <w:szCs w:val="24"/>
                <w:lang w:val="en-US" w:eastAsia="zh-CN" w:bidi="ar"/>
              </w:rPr>
            </w:pPr>
          </w:p>
        </w:tc>
        <w:tc>
          <w:tcPr>
            <w:tcW w:w="1746" w:type="dxa"/>
            <w:noWrap w:val="0"/>
            <w:tcMar>
              <w:top w:w="150" w:type="dxa"/>
              <w:left w:w="240" w:type="dxa"/>
              <w:bottom w:w="150" w:type="dxa"/>
              <w:right w:w="240" w:type="dxa"/>
            </w:tcMar>
            <w:vAlign w:val="center"/>
          </w:tcPr>
          <w:p w14:paraId="44B74EA9">
            <w:pPr>
              <w:keepNext w:val="0"/>
              <w:keepLines w:val="0"/>
              <w:widowControl/>
              <w:suppressLineNumbers w:val="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2"/>
              </w:rPr>
              <w:t>科室报表</w:t>
            </w:r>
          </w:p>
        </w:tc>
        <w:tc>
          <w:tcPr>
            <w:tcW w:w="3820" w:type="dxa"/>
            <w:noWrap w:val="0"/>
            <w:tcMar>
              <w:top w:w="150" w:type="dxa"/>
              <w:left w:w="240" w:type="dxa"/>
              <w:bottom w:w="150" w:type="dxa"/>
              <w:right w:w="0" w:type="dxa"/>
            </w:tcMar>
            <w:vAlign w:val="center"/>
          </w:tcPr>
          <w:p w14:paraId="0C747855">
            <w:pPr>
              <w:keepNext w:val="0"/>
              <w:keepLines w:val="0"/>
              <w:widowControl/>
              <w:suppressLineNumbers w:val="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2"/>
              </w:rPr>
              <w:t>临床科室工作量统计</w:t>
            </w:r>
          </w:p>
        </w:tc>
      </w:tr>
      <w:tr w14:paraId="1DFDE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88" w:type="dxa"/>
            <w:noWrap w:val="0"/>
            <w:tcMar>
              <w:top w:w="150" w:type="dxa"/>
              <w:left w:w="0" w:type="dxa"/>
              <w:bottom w:w="150" w:type="dxa"/>
              <w:right w:w="240" w:type="dxa"/>
            </w:tcMar>
            <w:vAlign w:val="center"/>
          </w:tcPr>
          <w:p w14:paraId="16AB2E00">
            <w:pPr>
              <w:rPr>
                <w:rFonts w:hint="eastAsia" w:ascii="宋体" w:hAnsi="宋体" w:eastAsia="宋体" w:cs="宋体"/>
                <w:sz w:val="24"/>
                <w:szCs w:val="24"/>
              </w:rPr>
            </w:pPr>
          </w:p>
        </w:tc>
        <w:tc>
          <w:tcPr>
            <w:tcW w:w="1332" w:type="dxa"/>
            <w:noWrap w:val="0"/>
            <w:tcMar>
              <w:top w:w="150" w:type="dxa"/>
              <w:left w:w="240" w:type="dxa"/>
              <w:bottom w:w="150" w:type="dxa"/>
              <w:right w:w="240" w:type="dxa"/>
            </w:tcMar>
            <w:vAlign w:val="center"/>
          </w:tcPr>
          <w:p w14:paraId="0BA72402">
            <w:pPr>
              <w:rPr>
                <w:rFonts w:hint="eastAsia" w:ascii="宋体" w:hAnsi="宋体" w:eastAsia="宋体" w:cs="宋体"/>
                <w:sz w:val="24"/>
                <w:szCs w:val="24"/>
              </w:rPr>
            </w:pPr>
          </w:p>
        </w:tc>
        <w:tc>
          <w:tcPr>
            <w:tcW w:w="1524" w:type="dxa"/>
            <w:noWrap w:val="0"/>
            <w:tcMar>
              <w:top w:w="150" w:type="dxa"/>
              <w:left w:w="240" w:type="dxa"/>
              <w:bottom w:w="150" w:type="dxa"/>
              <w:right w:w="240" w:type="dxa"/>
            </w:tcMar>
            <w:vAlign w:val="center"/>
          </w:tcPr>
          <w:p w14:paraId="51E01770">
            <w:pPr>
              <w:keepNext w:val="0"/>
              <w:keepLines w:val="0"/>
              <w:widowControl/>
              <w:suppressLineNumbers w:val="0"/>
              <w:jc w:val="left"/>
              <w:rPr>
                <w:rStyle w:val="4"/>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rPr>
              <w:t>麻醉用户权限管理</w:t>
            </w:r>
          </w:p>
        </w:tc>
        <w:tc>
          <w:tcPr>
            <w:tcW w:w="1746" w:type="dxa"/>
            <w:noWrap w:val="0"/>
            <w:tcMar>
              <w:top w:w="150" w:type="dxa"/>
              <w:left w:w="240" w:type="dxa"/>
              <w:bottom w:w="150" w:type="dxa"/>
              <w:right w:w="240" w:type="dxa"/>
            </w:tcMar>
            <w:vAlign w:val="center"/>
          </w:tcPr>
          <w:p w14:paraId="117C883B">
            <w:pPr>
              <w:keepNext w:val="0"/>
              <w:keepLines w:val="0"/>
              <w:widowControl/>
              <w:suppressLineNumbers w:val="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用户管理</w:t>
            </w:r>
          </w:p>
        </w:tc>
        <w:tc>
          <w:tcPr>
            <w:tcW w:w="3820" w:type="dxa"/>
            <w:noWrap w:val="0"/>
            <w:tcMar>
              <w:top w:w="150" w:type="dxa"/>
              <w:left w:w="240" w:type="dxa"/>
              <w:bottom w:w="150" w:type="dxa"/>
              <w:right w:w="0" w:type="dxa"/>
            </w:tcMar>
            <w:vAlign w:val="center"/>
          </w:tcPr>
          <w:p w14:paraId="60835F08">
            <w:pPr>
              <w:keepNext w:val="0"/>
              <w:keepLines w:val="0"/>
              <w:widowControl/>
              <w:suppressLineNumbers w:val="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系统用户权限管理控制</w:t>
            </w:r>
          </w:p>
        </w:tc>
      </w:tr>
    </w:tbl>
    <w:p w14:paraId="0D09FCB0">
      <w:pPr>
        <w:rPr>
          <w:rFonts w:hint="eastAsia" w:ascii="宋体" w:hAnsi="宋体" w:eastAsia="宋体" w:cs="宋体"/>
        </w:rPr>
      </w:pPr>
    </w:p>
    <w:p w14:paraId="1D5A6ECA">
      <w:pPr>
        <w:spacing w:line="360" w:lineRule="auto"/>
        <w:jc w:val="left"/>
        <w:rPr>
          <w:rFonts w:hint="eastAsia" w:ascii="宋体" w:hAnsi="宋体" w:eastAsia="宋体" w:cs="宋体"/>
          <w:b/>
          <w:kern w:val="0"/>
          <w:sz w:val="24"/>
          <w:szCs w:val="24"/>
        </w:rPr>
      </w:pPr>
      <w:r>
        <w:rPr>
          <w:rFonts w:hint="eastAsia" w:ascii="宋体" w:hAnsi="宋体" w:eastAsia="宋体" w:cs="宋体"/>
          <w:b/>
          <w:sz w:val="28"/>
          <w:szCs w:val="28"/>
          <w:lang w:eastAsia="zh-CN"/>
        </w:rPr>
        <w:t>（</w:t>
      </w:r>
      <w:r>
        <w:rPr>
          <w:rFonts w:hint="eastAsia" w:ascii="宋体" w:hAnsi="宋体" w:eastAsia="宋体" w:cs="宋体"/>
          <w:b/>
          <w:sz w:val="28"/>
          <w:szCs w:val="28"/>
          <w:lang w:val="en-US" w:eastAsia="zh-CN"/>
        </w:rPr>
        <w:t>二</w:t>
      </w:r>
      <w:r>
        <w:rPr>
          <w:rFonts w:hint="eastAsia" w:ascii="宋体" w:hAnsi="宋体" w:eastAsia="宋体" w:cs="宋体"/>
          <w:b/>
          <w:sz w:val="28"/>
          <w:szCs w:val="28"/>
          <w:lang w:eastAsia="zh-CN"/>
        </w:rPr>
        <w:t>）</w:t>
      </w:r>
      <w:r>
        <w:rPr>
          <w:rFonts w:hint="eastAsia" w:ascii="宋体" w:hAnsi="宋体" w:eastAsia="宋体" w:cs="宋体"/>
          <w:b/>
          <w:sz w:val="28"/>
          <w:szCs w:val="28"/>
        </w:rPr>
        <w:t>维保</w:t>
      </w:r>
      <w:r>
        <w:rPr>
          <w:rFonts w:hint="eastAsia" w:ascii="宋体" w:hAnsi="宋体" w:eastAsia="宋体" w:cs="宋体"/>
          <w:b/>
          <w:kern w:val="0"/>
          <w:sz w:val="28"/>
          <w:szCs w:val="28"/>
        </w:rPr>
        <w:t>内容：</w:t>
      </w:r>
    </w:p>
    <w:p w14:paraId="152C6A9C">
      <w:pPr>
        <w:keepNext w:val="0"/>
        <w:keepLines w:val="0"/>
        <w:pageBreakBefore w:val="0"/>
        <w:widowControl/>
        <w:kinsoku/>
        <w:wordWrap/>
        <w:overflowPunct/>
        <w:topLinePunct w:val="0"/>
        <w:autoSpaceDE/>
        <w:autoSpaceDN/>
        <w:bidi w:val="0"/>
        <w:spacing w:line="440" w:lineRule="exact"/>
        <w:ind w:firstLine="700" w:firstLineChars="250"/>
        <w:jc w:val="left"/>
        <w:textAlignment w:val="auto"/>
        <w:rPr>
          <w:rFonts w:hint="eastAsia" w:ascii="宋体" w:hAnsi="宋体" w:eastAsia="宋体" w:cs="宋体"/>
          <w:sz w:val="28"/>
          <w:szCs w:val="28"/>
        </w:rPr>
      </w:pPr>
      <w:r>
        <w:rPr>
          <w:rFonts w:hint="eastAsia" w:ascii="宋体" w:hAnsi="宋体" w:eastAsia="宋体" w:cs="宋体"/>
          <w:sz w:val="28"/>
          <w:szCs w:val="28"/>
        </w:rPr>
        <w:t>对全院在用的</w:t>
      </w:r>
      <w:r>
        <w:rPr>
          <w:rFonts w:hint="eastAsia" w:ascii="宋体" w:hAnsi="宋体" w:eastAsia="宋体" w:cs="宋体"/>
          <w:kern w:val="0"/>
          <w:sz w:val="28"/>
          <w:szCs w:val="28"/>
        </w:rPr>
        <w:t>手术麻醉重症</w:t>
      </w:r>
      <w:r>
        <w:rPr>
          <w:rFonts w:hint="eastAsia" w:ascii="宋体" w:hAnsi="宋体" w:eastAsia="宋体" w:cs="宋体"/>
          <w:sz w:val="28"/>
          <w:szCs w:val="28"/>
        </w:rPr>
        <w:t>临床信息系统软硬件提供技术支持维护，以确保整个系统的稳定可靠运行。保障软件的正常运行，对软件中存在的缺陷进行升级和优化，确保软件的正常使用。我院提供的有关数据资料均视为商业秘密，不得向任何第三方泄露。</w:t>
      </w:r>
    </w:p>
    <w:p w14:paraId="2AF05E2F">
      <w:pPr>
        <w:keepNext w:val="0"/>
        <w:keepLines w:val="0"/>
        <w:pageBreakBefore w:val="0"/>
        <w:kinsoku/>
        <w:wordWrap/>
        <w:overflowPunct/>
        <w:topLinePunct w:val="0"/>
        <w:autoSpaceDE/>
        <w:autoSpaceDN/>
        <w:bidi w:val="0"/>
        <w:spacing w:line="440" w:lineRule="exact"/>
        <w:ind w:firstLine="543" w:firstLineChars="194"/>
        <w:textAlignment w:val="auto"/>
        <w:rPr>
          <w:rFonts w:hint="eastAsia" w:ascii="宋体" w:hAnsi="宋体" w:eastAsia="宋体" w:cs="宋体"/>
          <w:sz w:val="28"/>
          <w:szCs w:val="28"/>
        </w:rPr>
      </w:pPr>
      <w:r>
        <w:rPr>
          <w:rFonts w:hint="eastAsia" w:ascii="宋体" w:hAnsi="宋体" w:eastAsia="宋体" w:cs="宋体"/>
          <w:sz w:val="28"/>
          <w:szCs w:val="28"/>
        </w:rPr>
        <w:t>维保内容具体需求如下：</w:t>
      </w:r>
    </w:p>
    <w:p w14:paraId="4CC4B212">
      <w:pPr>
        <w:keepNext w:val="0"/>
        <w:keepLines w:val="0"/>
        <w:pageBreakBefore w:val="0"/>
        <w:kinsoku/>
        <w:wordWrap/>
        <w:overflowPunct/>
        <w:topLinePunct w:val="0"/>
        <w:autoSpaceDE/>
        <w:autoSpaceDN/>
        <w:bidi w:val="0"/>
        <w:spacing w:line="440" w:lineRule="exact"/>
        <w:ind w:firstLine="545" w:firstLineChars="194"/>
        <w:textAlignment w:val="auto"/>
        <w:rPr>
          <w:rFonts w:hint="eastAsia" w:ascii="宋体" w:hAnsi="宋体" w:eastAsia="宋体" w:cs="宋体"/>
          <w:sz w:val="28"/>
          <w:szCs w:val="28"/>
        </w:rPr>
      </w:pPr>
      <w:r>
        <w:rPr>
          <w:rFonts w:hint="eastAsia" w:ascii="宋体" w:hAnsi="宋体" w:eastAsia="宋体" w:cs="宋体"/>
          <w:b/>
          <w:sz w:val="28"/>
          <w:szCs w:val="28"/>
        </w:rPr>
        <w:t>（1）远程电话支持：</w:t>
      </w:r>
      <w:r>
        <w:rPr>
          <w:rFonts w:hint="eastAsia" w:ascii="宋体" w:hAnsi="宋体" w:eastAsia="宋体" w:cs="宋体"/>
          <w:sz w:val="28"/>
          <w:szCs w:val="28"/>
        </w:rPr>
        <w:t>提供7×24小时远程服务电话支持或软件技术问题解决与分发。</w:t>
      </w:r>
    </w:p>
    <w:p w14:paraId="06463315">
      <w:pPr>
        <w:keepNext w:val="0"/>
        <w:keepLines w:val="0"/>
        <w:pageBreakBefore w:val="0"/>
        <w:kinsoku/>
        <w:wordWrap/>
        <w:overflowPunct/>
        <w:topLinePunct w:val="0"/>
        <w:autoSpaceDE/>
        <w:autoSpaceDN/>
        <w:bidi w:val="0"/>
        <w:spacing w:line="440" w:lineRule="exact"/>
        <w:ind w:firstLine="545" w:firstLineChars="194"/>
        <w:textAlignment w:val="auto"/>
        <w:rPr>
          <w:rFonts w:hint="eastAsia" w:ascii="宋体" w:hAnsi="宋体" w:eastAsia="宋体" w:cs="宋体"/>
          <w:sz w:val="28"/>
          <w:szCs w:val="28"/>
        </w:rPr>
      </w:pPr>
      <w:r>
        <w:rPr>
          <w:rFonts w:hint="eastAsia" w:ascii="宋体" w:hAnsi="宋体" w:eastAsia="宋体" w:cs="宋体"/>
          <w:b/>
          <w:sz w:val="28"/>
          <w:szCs w:val="28"/>
        </w:rPr>
        <w:t>（2）故障维护：</w:t>
      </w:r>
      <w:r>
        <w:rPr>
          <w:rFonts w:hint="eastAsia" w:ascii="宋体" w:hAnsi="宋体" w:eastAsia="宋体" w:cs="宋体"/>
          <w:sz w:val="28"/>
          <w:szCs w:val="28"/>
        </w:rPr>
        <w:t>配合院方解决系统运行过程中由于网络、服务器、计算机、操作系统等原因所产生的软件无法正常运行的情况，保障系统的正常运行，并在完成故障处理后出具产品维护报告，包含问题的原因、解决办法及建议。</w:t>
      </w:r>
    </w:p>
    <w:p w14:paraId="386E29A7">
      <w:pPr>
        <w:keepNext w:val="0"/>
        <w:keepLines w:val="0"/>
        <w:pageBreakBefore w:val="0"/>
        <w:kinsoku/>
        <w:wordWrap/>
        <w:overflowPunct/>
        <w:topLinePunct w:val="0"/>
        <w:autoSpaceDE/>
        <w:autoSpaceDN/>
        <w:bidi w:val="0"/>
        <w:spacing w:line="440" w:lineRule="exact"/>
        <w:ind w:firstLine="545" w:firstLineChars="194"/>
        <w:textAlignment w:val="auto"/>
        <w:rPr>
          <w:rFonts w:hint="eastAsia" w:ascii="宋体" w:hAnsi="宋体" w:eastAsia="宋体" w:cs="宋体"/>
          <w:sz w:val="28"/>
          <w:szCs w:val="28"/>
        </w:rPr>
      </w:pPr>
      <w:r>
        <w:rPr>
          <w:rFonts w:hint="eastAsia" w:ascii="宋体" w:hAnsi="宋体" w:eastAsia="宋体" w:cs="宋体"/>
          <w:b/>
          <w:sz w:val="28"/>
          <w:szCs w:val="28"/>
        </w:rPr>
        <w:t>（3）软件正确性维护：</w:t>
      </w:r>
      <w:r>
        <w:rPr>
          <w:rFonts w:hint="eastAsia" w:ascii="宋体" w:hAnsi="宋体" w:eastAsia="宋体" w:cs="宋体"/>
          <w:sz w:val="28"/>
          <w:szCs w:val="28"/>
        </w:rPr>
        <w:t>软件运行过程中新发现的软件错误，负责维护并及时改进，同时向院方提供软件维护说明。</w:t>
      </w:r>
    </w:p>
    <w:p w14:paraId="122B4422">
      <w:pPr>
        <w:keepNext w:val="0"/>
        <w:keepLines w:val="0"/>
        <w:pageBreakBefore w:val="0"/>
        <w:kinsoku/>
        <w:wordWrap/>
        <w:overflowPunct/>
        <w:topLinePunct w:val="0"/>
        <w:autoSpaceDE/>
        <w:autoSpaceDN/>
        <w:bidi w:val="0"/>
        <w:spacing w:line="440" w:lineRule="exact"/>
        <w:ind w:firstLine="425"/>
        <w:textAlignment w:val="auto"/>
        <w:rPr>
          <w:rFonts w:hint="eastAsia" w:ascii="宋体" w:hAnsi="宋体" w:eastAsia="宋体" w:cs="宋体"/>
          <w:sz w:val="28"/>
          <w:szCs w:val="28"/>
        </w:rPr>
      </w:pPr>
      <w:r>
        <w:rPr>
          <w:rFonts w:hint="eastAsia" w:ascii="宋体" w:hAnsi="宋体" w:eastAsia="宋体" w:cs="宋体"/>
          <w:b/>
          <w:sz w:val="28"/>
          <w:szCs w:val="28"/>
        </w:rPr>
        <w:t>（4）用户培训：</w:t>
      </w:r>
      <w:r>
        <w:rPr>
          <w:rFonts w:hint="eastAsia" w:ascii="宋体" w:hAnsi="宋体" w:eastAsia="宋体" w:cs="宋体"/>
          <w:sz w:val="28"/>
          <w:szCs w:val="28"/>
        </w:rPr>
        <w:t>负责软件更改后造成软件操作变化的使用培训，培训对象为院方的医生、护士、技术工程师、业务科室的关键用户。同时向院方提供新功能使用说明。</w:t>
      </w:r>
    </w:p>
    <w:p w14:paraId="61A08CE6">
      <w:pPr>
        <w:keepNext w:val="0"/>
        <w:keepLines w:val="0"/>
        <w:pageBreakBefore w:val="0"/>
        <w:kinsoku/>
        <w:wordWrap/>
        <w:overflowPunct/>
        <w:topLinePunct w:val="0"/>
        <w:autoSpaceDE/>
        <w:autoSpaceDN/>
        <w:bidi w:val="0"/>
        <w:spacing w:line="440" w:lineRule="exact"/>
        <w:ind w:firstLine="425"/>
        <w:textAlignment w:val="auto"/>
        <w:rPr>
          <w:rFonts w:hint="eastAsia" w:ascii="宋体" w:hAnsi="宋体" w:eastAsia="宋体" w:cs="宋体"/>
          <w:sz w:val="28"/>
          <w:szCs w:val="28"/>
        </w:rPr>
      </w:pPr>
      <w:r>
        <w:rPr>
          <w:rFonts w:hint="eastAsia" w:ascii="宋体" w:hAnsi="宋体" w:eastAsia="宋体" w:cs="宋体"/>
          <w:b/>
          <w:sz w:val="28"/>
          <w:szCs w:val="28"/>
        </w:rPr>
        <w:t>（5）定时巡检：</w:t>
      </w:r>
      <w:r>
        <w:rPr>
          <w:rFonts w:hint="eastAsia" w:ascii="宋体" w:hAnsi="宋体" w:eastAsia="宋体" w:cs="宋体"/>
          <w:sz w:val="28"/>
          <w:szCs w:val="28"/>
        </w:rPr>
        <w:t>经院方许可，每季度进行一次定期现场巡检，对院方应用软件的软硬件环境进行检查，发现系统稳定运行的隐患因素并及时排除。向</w:t>
      </w:r>
      <w:bookmarkStart w:id="0" w:name="_GoBack"/>
      <w:bookmarkEnd w:id="0"/>
      <w:r>
        <w:rPr>
          <w:rFonts w:hint="eastAsia" w:ascii="宋体" w:hAnsi="宋体" w:eastAsia="宋体" w:cs="宋体"/>
          <w:sz w:val="28"/>
          <w:szCs w:val="28"/>
        </w:rPr>
        <w:t>院方出具系统巡检报告，内容包含巡检范围、结果及巡检建议。</w:t>
      </w:r>
    </w:p>
    <w:p w14:paraId="4BB8E2C7">
      <w:pPr>
        <w:keepNext w:val="0"/>
        <w:keepLines w:val="0"/>
        <w:pageBreakBefore w:val="0"/>
        <w:kinsoku/>
        <w:wordWrap/>
        <w:overflowPunct/>
        <w:topLinePunct w:val="0"/>
        <w:autoSpaceDE/>
        <w:autoSpaceDN/>
        <w:bidi w:val="0"/>
        <w:spacing w:line="440" w:lineRule="exact"/>
        <w:ind w:firstLine="425"/>
        <w:textAlignment w:val="auto"/>
        <w:rPr>
          <w:rFonts w:hint="eastAsia" w:ascii="宋体" w:hAnsi="宋体" w:eastAsia="宋体" w:cs="宋体"/>
          <w:spacing w:val="-6"/>
          <w:sz w:val="28"/>
          <w:szCs w:val="28"/>
        </w:rPr>
      </w:pPr>
      <w:r>
        <w:rPr>
          <w:rFonts w:hint="eastAsia" w:ascii="宋体" w:hAnsi="宋体" w:eastAsia="宋体" w:cs="宋体"/>
          <w:b/>
          <w:spacing w:val="-6"/>
          <w:sz w:val="28"/>
          <w:szCs w:val="28"/>
        </w:rPr>
        <w:t>（6）需求的更新：</w:t>
      </w:r>
      <w:r>
        <w:rPr>
          <w:rFonts w:hint="eastAsia" w:ascii="宋体" w:hAnsi="宋体" w:eastAsia="宋体" w:cs="宋体"/>
          <w:spacing w:val="-6"/>
          <w:sz w:val="28"/>
          <w:szCs w:val="28"/>
        </w:rPr>
        <w:t>由于国家卫生主管部门政策变化导致软件系统功能中的表单内容或格式需变更，经共同协商确认后，应及时完善到系统中。</w:t>
      </w:r>
    </w:p>
    <w:p w14:paraId="4CA944F9">
      <w:pPr>
        <w:keepNext w:val="0"/>
        <w:keepLines w:val="0"/>
        <w:pageBreakBefore w:val="0"/>
        <w:kinsoku/>
        <w:wordWrap/>
        <w:overflowPunct/>
        <w:topLinePunct w:val="0"/>
        <w:autoSpaceDE/>
        <w:autoSpaceDN/>
        <w:bidi w:val="0"/>
        <w:spacing w:line="440" w:lineRule="exact"/>
        <w:ind w:firstLine="425"/>
        <w:textAlignment w:val="auto"/>
        <w:rPr>
          <w:rFonts w:hint="eastAsia" w:ascii="宋体" w:hAnsi="宋体" w:eastAsia="宋体" w:cs="宋体"/>
          <w:sz w:val="28"/>
          <w:szCs w:val="28"/>
        </w:rPr>
      </w:pPr>
      <w:r>
        <w:rPr>
          <w:rFonts w:hint="eastAsia" w:ascii="宋体" w:hAnsi="宋体" w:eastAsia="宋体" w:cs="宋体"/>
          <w:b/>
          <w:sz w:val="28"/>
          <w:szCs w:val="28"/>
        </w:rPr>
        <w:t>（7）系统建设建议：</w:t>
      </w:r>
      <w:r>
        <w:rPr>
          <w:rFonts w:hint="eastAsia" w:ascii="宋体" w:hAnsi="宋体" w:eastAsia="宋体" w:cs="宋体"/>
          <w:sz w:val="28"/>
          <w:szCs w:val="28"/>
        </w:rPr>
        <w:t>系统在运行过程中，应不定期地向院方提供科室软件建设建议方案。</w:t>
      </w:r>
    </w:p>
    <w:p w14:paraId="7F946F3B">
      <w:pPr>
        <w:keepNext w:val="0"/>
        <w:keepLines w:val="0"/>
        <w:pageBreakBefore w:val="0"/>
        <w:kinsoku/>
        <w:wordWrap/>
        <w:overflowPunct/>
        <w:topLinePunct w:val="0"/>
        <w:autoSpaceDE/>
        <w:autoSpaceDN/>
        <w:bidi w:val="0"/>
        <w:spacing w:line="440" w:lineRule="exact"/>
        <w:ind w:firstLine="425"/>
        <w:textAlignment w:val="auto"/>
        <w:rPr>
          <w:rFonts w:hint="eastAsia" w:ascii="宋体" w:hAnsi="宋体" w:eastAsia="宋体" w:cs="宋体"/>
          <w:sz w:val="28"/>
          <w:szCs w:val="28"/>
        </w:rPr>
      </w:pPr>
      <w:r>
        <w:rPr>
          <w:rFonts w:hint="eastAsia" w:ascii="宋体" w:hAnsi="宋体" w:eastAsia="宋体" w:cs="宋体"/>
          <w:b/>
          <w:sz w:val="28"/>
          <w:szCs w:val="28"/>
        </w:rPr>
        <w:t>（8）客户回应承诺：</w:t>
      </w:r>
      <w:r>
        <w:rPr>
          <w:rFonts w:hint="eastAsia" w:ascii="宋体" w:hAnsi="宋体" w:eastAsia="宋体" w:cs="宋体"/>
          <w:sz w:val="28"/>
          <w:szCs w:val="28"/>
        </w:rPr>
        <w:t>在维护期内，如软件系统故障，维护方需在接到通知后30分钟内予以响应，共同协商解决方案。若需要工程师前往现场，除约定到达时间外，一般要求在4小时到达院方指定现场。工程师在到达现场后，经现场调查后，除约定时间外，一般要求6小时内排除故障。如院方因需求修改要求工程师现场维护的，维护方应在24小时内予以回应，给出具体解决方案和时间表，经院方批准后，遵照方案、时间表及本合同约定执行。</w:t>
      </w:r>
    </w:p>
    <w:p w14:paraId="7CCFBCA4">
      <w:pPr>
        <w:keepNext w:val="0"/>
        <w:keepLines w:val="0"/>
        <w:pageBreakBefore w:val="0"/>
        <w:kinsoku/>
        <w:wordWrap/>
        <w:overflowPunct/>
        <w:topLinePunct w:val="0"/>
        <w:autoSpaceDE/>
        <w:autoSpaceDN/>
        <w:bidi w:val="0"/>
        <w:spacing w:line="440" w:lineRule="exact"/>
        <w:ind w:firstLine="425"/>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注：本项目采购的相关系统管理软件需符合财政部、工业和信息化部颁发的《操作系统政府采购需求标准（2023 年版）》、《台式式计算机政府采购需求标准（2023 年版）》、《通用服务器政府采购需求标准（2023 版）》、《工作站政府采购需求标准（2023 年版）》等文件要求，如履约验收期间所投产品不满足相关文件要求，采购人有权追究中标人的违约责任，中标人承担由此产生的一切后果及责任</w:t>
      </w:r>
      <w:r>
        <w:rPr>
          <w:rFonts w:hint="eastAsia" w:ascii="宋体" w:hAnsi="宋体" w:eastAsia="宋体" w:cs="宋体"/>
          <w:sz w:val="28"/>
          <w:szCs w:val="28"/>
          <w:lang w:val="en-US" w:eastAsia="zh-CN"/>
        </w:rPr>
        <w:t>。</w:t>
      </w:r>
    </w:p>
    <w:p w14:paraId="3032A22C">
      <w:pPr>
        <w:tabs>
          <w:tab w:val="left" w:pos="719"/>
        </w:tabs>
        <w:bidi w:val="0"/>
        <w:jc w:val="left"/>
        <w:rPr>
          <w:rFonts w:hint="eastAsia"/>
          <w:lang w:val="en-US" w:eastAsia="zh-CN"/>
        </w:rPr>
      </w:pPr>
    </w:p>
    <w:sectPr>
      <w:pgSz w:w="11906" w:h="16838"/>
      <w:pgMar w:top="1440" w:right="1633" w:bottom="1440"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5724BE5"/>
    <w:rsid w:val="7F3F36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25</Words>
  <Characters>25</Characters>
  <Lines>0</Lines>
  <Paragraphs>0</Paragraphs>
  <TotalTime>1</TotalTime>
  <ScaleCrop>false</ScaleCrop>
  <LinksUpToDate>false</LinksUpToDate>
  <CharactersWithSpaces>26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2026-06-02T06:45:00Z</dcterms:created>
  <dc:creator>admin</dc:creator>
  <cp:lastModifiedBy>夏未凉</cp:lastModifiedBy>
  <dcterms:modified xsi:type="dcterms:W3CDTF">2026-06-02T06:48:36Z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7F451374D8B749FE958D471354B34A3B_12</vt:lpwstr>
  </property>
</Properties>
</file>