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FB5974">
      <w:pPr>
        <w:keepNext w:val="0"/>
        <w:keepLines w:val="0"/>
        <w:pageBreakBefore w:val="0"/>
        <w:widowControl w:val="0"/>
        <w:kinsoku/>
        <w:wordWrap/>
        <w:overflowPunct/>
        <w:topLinePunct w:val="0"/>
        <w:autoSpaceDE/>
        <w:autoSpaceDN/>
        <w:bidi w:val="0"/>
        <w:adjustRightInd/>
        <w:snapToGrid/>
        <w:spacing w:line="620" w:lineRule="exact"/>
        <w:ind w:left="0" w:leftChars="0" w:firstLine="384" w:firstLineChars="100"/>
        <w:jc w:val="both"/>
        <w:textAlignment w:val="auto"/>
        <w:rPr>
          <w:rFonts w:hint="eastAsia" w:ascii="华文中宋" w:hAnsi="华文中宋" w:eastAsia="华文中宋" w:cs="华文中宋"/>
          <w:b/>
          <w:bCs/>
          <w:color w:val="000000"/>
          <w:spacing w:val="-28"/>
          <w:sz w:val="60"/>
          <w:szCs w:val="60"/>
          <w:lang w:val="en-US" w:eastAsia="zh-CN"/>
        </w:rPr>
      </w:pPr>
      <w:r>
        <w:rPr>
          <w:rFonts w:hint="eastAsia" w:ascii="华文中宋" w:hAnsi="华文中宋" w:eastAsia="华文中宋" w:cs="华文中宋"/>
          <w:b/>
          <w:bCs/>
          <w:color w:val="000000"/>
          <w:spacing w:val="-28"/>
          <w:sz w:val="44"/>
          <w:szCs w:val="44"/>
          <w:lang w:eastAsia="zh-CN"/>
        </w:rPr>
        <w:t>枞阳县人民医院肺结节软件筛查系统</w:t>
      </w:r>
      <w:r>
        <w:rPr>
          <w:rFonts w:hint="eastAsia" w:ascii="华文中宋" w:hAnsi="华文中宋" w:eastAsia="华文中宋" w:cs="华文中宋"/>
          <w:b/>
          <w:bCs/>
          <w:color w:val="000000"/>
          <w:spacing w:val="-28"/>
          <w:sz w:val="44"/>
          <w:szCs w:val="44"/>
          <w:lang w:val="en-US" w:eastAsia="zh-CN"/>
        </w:rPr>
        <w:t>采购项目</w:t>
      </w:r>
    </w:p>
    <w:p w14:paraId="21A68D46">
      <w:pPr>
        <w:ind w:firstLine="3460" w:firstLineChars="900"/>
        <w:rPr>
          <w:rFonts w:hint="eastAsia" w:ascii="华文中宋" w:hAnsi="华文中宋" w:eastAsia="华文中宋" w:cs="华文中宋"/>
          <w:b/>
          <w:bCs/>
          <w:color w:val="000000"/>
          <w:spacing w:val="-28"/>
          <w:sz w:val="44"/>
          <w:szCs w:val="44"/>
          <w:lang w:val="en-US" w:eastAsia="zh-CN"/>
        </w:rPr>
      </w:pPr>
      <w:r>
        <w:rPr>
          <w:rFonts w:hint="eastAsia" w:ascii="华文中宋" w:hAnsi="华文中宋" w:eastAsia="华文中宋" w:cs="华文中宋"/>
          <w:b/>
          <w:bCs/>
          <w:color w:val="000000"/>
          <w:spacing w:val="-28"/>
          <w:sz w:val="44"/>
          <w:szCs w:val="44"/>
          <w:lang w:val="en-US" w:eastAsia="zh-CN"/>
        </w:rPr>
        <w:t>采购需求</w:t>
      </w:r>
    </w:p>
    <w:p w14:paraId="3AD1AE1F">
      <w:pPr>
        <w:keepNext w:val="0"/>
        <w:keepLines w:val="0"/>
        <w:pageBreakBefore w:val="0"/>
        <w:widowControl w:val="0"/>
        <w:numPr>
          <w:ilvl w:val="0"/>
          <w:numId w:val="1"/>
        </w:numPr>
        <w:kinsoku/>
        <w:wordWrap/>
        <w:overflowPunct/>
        <w:topLinePunct w:val="0"/>
        <w:autoSpaceDE/>
        <w:autoSpaceDN/>
        <w:bidi w:val="0"/>
        <w:adjustRightInd/>
        <w:snapToGrid/>
        <w:spacing w:line="520" w:lineRule="exact"/>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采购内容及要求</w:t>
      </w:r>
    </w:p>
    <w:p w14:paraId="6CF15720">
      <w:pPr>
        <w:keepNext w:val="0"/>
        <w:keepLines w:val="0"/>
        <w:pageBreakBefore w:val="0"/>
        <w:widowControl w:val="0"/>
        <w:numPr>
          <w:numId w:val="0"/>
        </w:numPr>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本项目为枞阳县人民医院肺结节软件筛查系统，包含AI影像诊断平台(肺结节AI辅助检测)等服务。</w:t>
      </w:r>
    </w:p>
    <w:p w14:paraId="16BAAE08">
      <w:pPr>
        <w:keepNext w:val="0"/>
        <w:keepLines w:val="0"/>
        <w:pageBreakBefore w:val="0"/>
        <w:widowControl w:val="0"/>
        <w:numPr>
          <w:ilvl w:val="0"/>
          <w:numId w:val="2"/>
        </w:numPr>
        <w:kinsoku/>
        <w:wordWrap/>
        <w:overflowPunct/>
        <w:topLinePunct w:val="0"/>
        <w:autoSpaceDE/>
        <w:autoSpaceDN/>
        <w:bidi w:val="0"/>
        <w:adjustRightInd/>
        <w:snapToGrid/>
        <w:spacing w:line="520" w:lineRule="exact"/>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项目背景 </w:t>
      </w:r>
    </w:p>
    <w:p w14:paraId="5D5B308D">
      <w:pPr>
        <w:keepNext w:val="0"/>
        <w:keepLines w:val="0"/>
        <w:pageBreakBefore w:val="0"/>
        <w:widowControl w:val="0"/>
        <w:numPr>
          <w:numId w:val="0"/>
        </w:numPr>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我国近年来逐步重视人工智能在医疗领域的应用和发展。在“十三五”规划期间，医疗等新兴领域的人工智能技术发展被正式纳入国民经济规划中，提出了“重点突破新兴领域人工智能技术，大力推进精准医疗创新和产业化”的目标。进入“十四五”规划后，更是明确要“聚焦人工智能、生物医药组建一批国家实验室，瞄准人工智能、生命健康等前沿领域，实施一批具有前瞻性、战略性的国家重大科技项目”。2024年11月23日，国家医保局发布新规，明确人工智能辅助诊断首次被纳入医疗服务的价格构成，这一政策旨在支持成熟的AI技术应用，提升医疗诊断的精准度和效率，同时减轻患者负担。 </w:t>
      </w:r>
    </w:p>
    <w:p w14:paraId="1FDF1D72">
      <w:pPr>
        <w:keepNext w:val="0"/>
        <w:keepLines w:val="0"/>
        <w:pageBreakBefore w:val="0"/>
        <w:widowControl w:val="0"/>
        <w:numPr>
          <w:numId w:val="0"/>
        </w:numPr>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人工智能辅助诊断系统主要依靠机器学习、深度学习和大数据等技术，对医学影像进行分析，帮助医生更快、更准确地做出诊断‌。本次项目建设将深度利用人工智能等新兴技术，针对当前存在的不足，围绕枞阳县人民医院医疗质量提升、便民惠民等目标，提供智慧服务应用，整体提升枞阳县人民医院医疗健康服务能力，满足居民多样化的健康服务需求。主要包含以下内容</w:t>
      </w:r>
      <w:r>
        <w:rPr>
          <w:rFonts w:hint="eastAsia" w:ascii="仿宋" w:hAnsi="仿宋" w:eastAsia="仿宋" w:cs="仿宋"/>
          <w:color w:val="auto"/>
          <w:sz w:val="28"/>
          <w:szCs w:val="28"/>
          <w:highlight w:val="none"/>
          <w:lang w:val="en-US" w:eastAsia="zh-CN"/>
        </w:rPr>
        <w:t>：(1)AI辅助影像诊断平台;(2)肺结节AI辅助检测;(3)肺炎定量分析;(4)胸部骨折AI辅助检测;(5)钙化积分智能检测;(6)冠脉CTA智能分析;(7)头颈CTA智能分析;(8)脑出血AI辅助检测;(9)缺血性脑卒中AI辅助检测;(10)脑灌注智能评估等功能。</w:t>
      </w:r>
    </w:p>
    <w:p w14:paraId="51A1413E">
      <w:pPr>
        <w:pStyle w:val="2"/>
        <w:keepNext/>
        <w:keepLines/>
        <w:pageBreakBefore w:val="0"/>
        <w:widowControl w:val="0"/>
        <w:numPr>
          <w:ilvl w:val="0"/>
          <w:numId w:val="0"/>
        </w:numPr>
        <w:kinsoku/>
        <w:wordWrap w:val="0"/>
        <w:overflowPunct/>
        <w:topLinePunct w:val="0"/>
        <w:autoSpaceDE/>
        <w:autoSpaceDN/>
        <w:bidi w:val="0"/>
        <w:adjustRightInd/>
        <w:snapToGrid/>
        <w:spacing w:before="0" w:beforeAutospacing="0" w:after="0" w:afterAutospacing="0" w:line="240" w:lineRule="auto"/>
        <w:jc w:val="left"/>
        <w:textAlignment w:val="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（二）产品具体要求</w:t>
      </w:r>
    </w:p>
    <w:tbl>
      <w:tblPr>
        <w:tblStyle w:val="4"/>
        <w:tblW w:w="92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9"/>
        <w:gridCol w:w="1282"/>
        <w:gridCol w:w="6971"/>
      </w:tblGrid>
      <w:tr w14:paraId="00759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89" w:type="dxa"/>
            <w:noWrap w:val="0"/>
            <w:vAlign w:val="center"/>
          </w:tcPr>
          <w:p w14:paraId="27D3B85D">
            <w:pPr>
              <w:keepNext/>
              <w:keepLines/>
              <w:pageBreakBefore w:val="0"/>
              <w:widowControl w:val="0"/>
              <w:suppressLineNumbers w:val="0"/>
              <w:kinsoku/>
              <w:wordWrap w:val="0"/>
              <w:overflowPunct/>
              <w:topLinePunct w:val="0"/>
              <w:autoSpaceDE/>
              <w:autoSpaceDN/>
              <w:bidi w:val="0"/>
              <w:adjustRightInd/>
              <w:snapToGrid/>
              <w:spacing w:line="360" w:lineRule="auto"/>
              <w:ind w:firstLine="0" w:firstLineChars="0"/>
              <w:jc w:val="center"/>
              <w:textAlignment w:val="center"/>
              <w:rPr>
                <w:rFonts w:hint="eastAsia" w:ascii="仿宋" w:hAnsi="仿宋" w:eastAsia="仿宋" w:cs="仿宋"/>
                <w:b/>
                <w:bCs/>
                <w:color w:val="auto"/>
                <w:sz w:val="24"/>
                <w:szCs w:val="24"/>
                <w:vertAlign w:val="baseline"/>
                <w:lang w:val="en-US" w:eastAsia="zh-CN" w:bidi="ar"/>
              </w:rPr>
            </w:pPr>
            <w:r>
              <w:rPr>
                <w:rFonts w:hint="eastAsia" w:ascii="仿宋" w:hAnsi="仿宋" w:eastAsia="仿宋" w:cs="仿宋"/>
                <w:b/>
                <w:bCs/>
                <w:color w:val="auto"/>
                <w:sz w:val="24"/>
                <w:szCs w:val="24"/>
                <w:vertAlign w:val="baseline"/>
                <w:lang w:val="en-US" w:eastAsia="zh-CN" w:bidi="ar"/>
              </w:rPr>
              <w:t>序号</w:t>
            </w:r>
          </w:p>
        </w:tc>
        <w:tc>
          <w:tcPr>
            <w:tcW w:w="1282" w:type="dxa"/>
            <w:noWrap w:val="0"/>
            <w:vAlign w:val="center"/>
          </w:tcPr>
          <w:p w14:paraId="08D910E5">
            <w:pPr>
              <w:keepNext/>
              <w:keepLines/>
              <w:pageBreakBefore w:val="0"/>
              <w:widowControl w:val="0"/>
              <w:suppressLineNumbers w:val="0"/>
              <w:kinsoku/>
              <w:wordWrap w:val="0"/>
              <w:overflowPunct/>
              <w:topLinePunct w:val="0"/>
              <w:autoSpaceDE/>
              <w:autoSpaceDN/>
              <w:bidi w:val="0"/>
              <w:adjustRightInd/>
              <w:snapToGrid/>
              <w:spacing w:line="360" w:lineRule="auto"/>
              <w:ind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b/>
                <w:bCs/>
                <w:color w:val="auto"/>
                <w:sz w:val="24"/>
                <w:szCs w:val="24"/>
                <w:vertAlign w:val="baseline"/>
                <w:lang w:val="en-US" w:eastAsia="zh-CN" w:bidi="ar"/>
              </w:rPr>
              <w:t>产品名称</w:t>
            </w:r>
          </w:p>
        </w:tc>
        <w:tc>
          <w:tcPr>
            <w:tcW w:w="6971" w:type="dxa"/>
            <w:noWrap w:val="0"/>
            <w:vAlign w:val="center"/>
          </w:tcPr>
          <w:p w14:paraId="1DD52EBE">
            <w:pPr>
              <w:keepNext/>
              <w:keepLines/>
              <w:pageBreakBefore w:val="0"/>
              <w:widowControl w:val="0"/>
              <w:suppressLineNumbers w:val="0"/>
              <w:kinsoku/>
              <w:wordWrap w:val="0"/>
              <w:overflowPunct/>
              <w:topLinePunct w:val="0"/>
              <w:autoSpaceDE/>
              <w:autoSpaceDN/>
              <w:bidi w:val="0"/>
              <w:adjustRightInd/>
              <w:snapToGrid/>
              <w:spacing w:line="360" w:lineRule="auto"/>
              <w:ind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b/>
                <w:bCs/>
                <w:color w:val="auto"/>
                <w:sz w:val="24"/>
                <w:szCs w:val="24"/>
                <w:vertAlign w:val="baseline"/>
                <w:lang w:val="en-US" w:eastAsia="zh-CN" w:bidi="ar"/>
              </w:rPr>
              <w:t>具体功能要求</w:t>
            </w:r>
          </w:p>
        </w:tc>
      </w:tr>
      <w:tr w14:paraId="151D0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989" w:type="dxa"/>
            <w:noWrap w:val="0"/>
            <w:vAlign w:val="center"/>
          </w:tcPr>
          <w:p w14:paraId="6509C8E4">
            <w:pPr>
              <w:keepNext/>
              <w:keepLines/>
              <w:pageBreakBefore w:val="0"/>
              <w:widowControl w:val="0"/>
              <w:suppressLineNumbers w:val="0"/>
              <w:kinsoku/>
              <w:wordWrap w:val="0"/>
              <w:overflowPunct/>
              <w:topLinePunct w:val="0"/>
              <w:autoSpaceDE/>
              <w:autoSpaceDN/>
              <w:bidi w:val="0"/>
              <w:adjustRightInd/>
              <w:snapToGrid/>
              <w:spacing w:line="360" w:lineRule="auto"/>
              <w:ind w:firstLine="0" w:firstLineChars="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1282" w:type="dxa"/>
            <w:noWrap w:val="0"/>
            <w:vAlign w:val="center"/>
          </w:tcPr>
          <w:p w14:paraId="699E61A4">
            <w:pPr>
              <w:keepNext/>
              <w:keepLines/>
              <w:pageBreakBefore w:val="0"/>
              <w:widowControl w:val="0"/>
              <w:suppressLineNumbers w:val="0"/>
              <w:kinsoku/>
              <w:wordWrap w:val="0"/>
              <w:overflowPunct/>
              <w:topLinePunct w:val="0"/>
              <w:autoSpaceDE/>
              <w:autoSpaceDN/>
              <w:bidi w:val="0"/>
              <w:adjustRightInd/>
              <w:snapToGrid/>
              <w:spacing w:line="360" w:lineRule="auto"/>
              <w:ind w:firstLine="0" w:firstLineChars="0"/>
              <w:jc w:val="center"/>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肺结节软件筛查系统</w:t>
            </w:r>
          </w:p>
        </w:tc>
        <w:tc>
          <w:tcPr>
            <w:tcW w:w="6971" w:type="dxa"/>
            <w:noWrap w:val="0"/>
            <w:vAlign w:val="center"/>
          </w:tcPr>
          <w:p w14:paraId="59C3316B">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i w:val="0"/>
                <w:iCs w:val="0"/>
                <w:color w:val="000000"/>
                <w:kern w:val="0"/>
                <w:sz w:val="24"/>
                <w:szCs w:val="24"/>
                <w:u w:val="none"/>
                <w:lang w:val="en-US" w:eastAsia="zh-CN" w:bidi="ar"/>
              </w:rPr>
              <w:t>一、AI辅助影像诊断平台</w:t>
            </w:r>
          </w:p>
          <w:p w14:paraId="763A7F0B">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lang w:val="en-US" w:eastAsia="zh-CN"/>
              </w:rPr>
              <w:t>1.</w:t>
            </w:r>
            <w:r>
              <w:rPr>
                <w:rFonts w:hint="eastAsia" w:ascii="仿宋" w:hAnsi="仿宋" w:eastAsia="仿宋" w:cs="仿宋"/>
                <w:color w:val="auto"/>
                <w:sz w:val="24"/>
                <w:szCs w:val="24"/>
                <w:lang w:val="en-US" w:eastAsia="zh-CN"/>
              </w:rPr>
              <w:t>系统支持对平台上的AI能力统一管理,支持对平台上AI辅诊类型等进行配置。</w:t>
            </w:r>
          </w:p>
          <w:p w14:paraId="39D54675">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lang w:val="en-US" w:eastAsia="zh-CN"/>
              </w:rPr>
              <w:t>2.</w:t>
            </w:r>
            <w:r>
              <w:rPr>
                <w:rFonts w:hint="eastAsia" w:ascii="仿宋" w:hAnsi="仿宋" w:eastAsia="仿宋" w:cs="仿宋"/>
                <w:color w:val="auto"/>
                <w:sz w:val="24"/>
                <w:szCs w:val="24"/>
                <w:lang w:val="en-US" w:eastAsia="zh-CN"/>
              </w:rPr>
              <w:t>通过对辅诊数据进行监测和分析，可以获得AI辅诊运行状况的实时统计和监管信息，进行改进和优化，提升辅诊的效率和质量。</w:t>
            </w:r>
          </w:p>
          <w:p w14:paraId="2961190B">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lang w:val="en-US" w:eastAsia="zh-CN"/>
              </w:rPr>
              <w:t>3.</w:t>
            </w:r>
            <w:r>
              <w:rPr>
                <w:rFonts w:hint="eastAsia" w:ascii="仿宋" w:hAnsi="仿宋" w:eastAsia="仿宋" w:cs="仿宋"/>
                <w:color w:val="auto"/>
                <w:sz w:val="24"/>
                <w:szCs w:val="24"/>
                <w:lang w:val="en-US" w:eastAsia="zh-CN"/>
              </w:rPr>
              <w:t>系统支持记录各个医疗机构辅诊的数据详情，可通过医疗机构、患者检查号、患者姓名、AI服务申请（机构/患者）、AI厂家辅诊模式、辅诊类型、辅助状态和时间区间进行筛选。</w:t>
            </w:r>
          </w:p>
          <w:p w14:paraId="36AB0902">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b/>
                <w:bCs/>
                <w:color w:val="000000"/>
                <w:sz w:val="22"/>
                <w:szCs w:val="21"/>
                <w:lang w:val="en-US" w:eastAsia="zh-CN"/>
              </w:rPr>
              <w:t>4.</w:t>
            </w:r>
            <w:r>
              <w:rPr>
                <w:rFonts w:hint="eastAsia" w:ascii="仿宋" w:hAnsi="仿宋" w:eastAsia="仿宋" w:cs="仿宋"/>
                <w:color w:val="000000"/>
              </w:rPr>
              <w:t>▲</w:t>
            </w:r>
            <w:r>
              <w:rPr>
                <w:rFonts w:hint="eastAsia" w:ascii="仿宋" w:hAnsi="仿宋" w:eastAsia="仿宋" w:cs="仿宋"/>
                <w:color w:val="auto"/>
                <w:sz w:val="24"/>
                <w:szCs w:val="24"/>
                <w:lang w:val="en-US" w:eastAsia="zh-CN"/>
              </w:rPr>
              <w:t>系统支持识别医院上传不符合AI辅诊服务的错误数据，包括检查项目不一致、TAG值不一致等问题无法通过AI辅诊模型识别的数据。</w:t>
            </w:r>
          </w:p>
          <w:p w14:paraId="28B9AE24">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lang w:val="en-US" w:eastAsia="zh-CN"/>
              </w:rPr>
              <w:t>5.</w:t>
            </w:r>
            <w:r>
              <w:rPr>
                <w:rFonts w:hint="eastAsia" w:ascii="仿宋" w:hAnsi="仿宋" w:eastAsia="仿宋" w:cs="仿宋"/>
                <w:color w:val="auto"/>
                <w:sz w:val="24"/>
                <w:szCs w:val="24"/>
                <w:lang w:val="en-US" w:eastAsia="zh-CN"/>
              </w:rPr>
              <w:t>系统支持查平台上各个医疗机构AI结果的详情。可以统计某个医院某个医生在某个时间查看什么辅诊数据。</w:t>
            </w:r>
          </w:p>
          <w:p w14:paraId="2919D6E2">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lang w:val="en-US" w:eastAsia="zh-CN"/>
              </w:rPr>
              <w:t>6.</w:t>
            </w:r>
            <w:r>
              <w:rPr>
                <w:rFonts w:hint="eastAsia" w:ascii="仿宋" w:hAnsi="仿宋" w:eastAsia="仿宋" w:cs="仿宋"/>
                <w:color w:val="auto"/>
                <w:sz w:val="24"/>
                <w:szCs w:val="24"/>
                <w:lang w:val="en-US" w:eastAsia="zh-CN"/>
              </w:rPr>
              <w:t>系统支持设置系统服务使用的医院名称、查看AI结果地址。</w:t>
            </w:r>
          </w:p>
          <w:p w14:paraId="1E8E42D1">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lang w:val="en-US" w:eastAsia="zh-CN"/>
              </w:rPr>
              <w:t>7.</w:t>
            </w:r>
            <w:r>
              <w:rPr>
                <w:rFonts w:hint="eastAsia" w:ascii="仿宋" w:hAnsi="仿宋" w:eastAsia="仿宋" w:cs="仿宋"/>
                <w:color w:val="auto"/>
                <w:sz w:val="24"/>
                <w:szCs w:val="24"/>
                <w:lang w:val="en-US" w:eastAsia="zh-CN"/>
              </w:rPr>
              <w:t>系统支持对辅助诊断的功能弹窗进行设置，可以配置提醒样式、显示位置、显示数量等。</w:t>
            </w:r>
          </w:p>
          <w:p w14:paraId="7B55449B">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rPr>
            </w:pPr>
            <w:r>
              <w:rPr>
                <w:rFonts w:hint="eastAsia" w:ascii="仿宋" w:hAnsi="仿宋" w:eastAsia="仿宋" w:cs="仿宋"/>
                <w:b/>
                <w:bCs/>
                <w:color w:val="auto"/>
                <w:sz w:val="24"/>
                <w:szCs w:val="24"/>
                <w:lang w:val="en-US" w:eastAsia="zh-CN"/>
              </w:rPr>
              <w:t>8.</w:t>
            </w:r>
            <w:r>
              <w:rPr>
                <w:rFonts w:hint="eastAsia" w:ascii="仿宋" w:hAnsi="仿宋" w:eastAsia="仿宋" w:cs="仿宋"/>
                <w:color w:val="auto"/>
                <w:sz w:val="24"/>
                <w:szCs w:val="24"/>
                <w:lang w:val="en-US" w:eastAsia="zh-CN"/>
              </w:rPr>
              <w:t>系统支持对服务平台使用医生的角色进行配置，可以新增使用角色，进行医院名称、辅诊类型角色选定设置，也可以对角色进行编辑。</w:t>
            </w:r>
          </w:p>
          <w:p w14:paraId="6361E1B7">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rPr>
            </w:pPr>
            <w:r>
              <w:rPr>
                <w:rFonts w:hint="eastAsia" w:ascii="仿宋" w:hAnsi="仿宋" w:eastAsia="仿宋" w:cs="仿宋"/>
                <w:b/>
                <w:bCs/>
                <w:color w:val="000000"/>
                <w:sz w:val="22"/>
                <w:szCs w:val="21"/>
                <w:lang w:val="en-US" w:eastAsia="zh-CN"/>
              </w:rPr>
              <w:t>9.</w:t>
            </w:r>
            <w:r>
              <w:rPr>
                <w:rFonts w:hint="eastAsia" w:ascii="仿宋" w:hAnsi="仿宋" w:eastAsia="仿宋" w:cs="仿宋"/>
                <w:color w:val="000000"/>
              </w:rPr>
              <w:t>▲</w:t>
            </w:r>
            <w:r>
              <w:rPr>
                <w:rFonts w:hint="eastAsia" w:ascii="仿宋" w:hAnsi="仿宋" w:eastAsia="仿宋" w:cs="仿宋"/>
                <w:i w:val="0"/>
                <w:iCs w:val="0"/>
                <w:color w:val="000000"/>
                <w:sz w:val="24"/>
                <w:szCs w:val="24"/>
                <w:u w:val="none"/>
              </w:rPr>
              <w:t>投标人</w:t>
            </w:r>
            <w:r>
              <w:rPr>
                <w:rFonts w:hint="eastAsia" w:ascii="仿宋" w:hAnsi="仿宋" w:eastAsia="仿宋" w:cs="仿宋"/>
                <w:i w:val="0"/>
                <w:iCs w:val="0"/>
                <w:color w:val="000000"/>
                <w:sz w:val="24"/>
                <w:szCs w:val="24"/>
                <w:u w:val="none"/>
                <w:lang w:val="en-US" w:eastAsia="zh-CN"/>
              </w:rPr>
              <w:t>所</w:t>
            </w:r>
            <w:r>
              <w:rPr>
                <w:rFonts w:hint="eastAsia" w:ascii="仿宋" w:hAnsi="仿宋" w:eastAsia="仿宋" w:cs="仿宋"/>
                <w:i w:val="0"/>
                <w:iCs w:val="0"/>
                <w:color w:val="000000"/>
                <w:sz w:val="24"/>
                <w:szCs w:val="24"/>
                <w:u w:val="none"/>
              </w:rPr>
              <w:t>提供的人工智能辅助诊断软件须</w:t>
            </w:r>
            <w:r>
              <w:rPr>
                <w:rFonts w:hint="eastAsia" w:ascii="仿宋" w:hAnsi="仿宋" w:eastAsia="仿宋" w:cs="仿宋"/>
                <w:i w:val="0"/>
                <w:iCs w:val="0"/>
                <w:color w:val="000000"/>
                <w:sz w:val="24"/>
                <w:szCs w:val="24"/>
                <w:u w:val="none"/>
                <w:lang w:val="en-US" w:eastAsia="zh-CN"/>
              </w:rPr>
              <w:t>与</w:t>
            </w:r>
            <w:r>
              <w:rPr>
                <w:rFonts w:hint="eastAsia" w:ascii="仿宋" w:hAnsi="仿宋" w:eastAsia="仿宋" w:cs="仿宋"/>
                <w:i w:val="0"/>
                <w:iCs w:val="0"/>
                <w:color w:val="000000"/>
                <w:sz w:val="24"/>
                <w:szCs w:val="24"/>
                <w:u w:val="none"/>
              </w:rPr>
              <w:t>“智联网医院系统”</w:t>
            </w:r>
            <w:r>
              <w:rPr>
                <w:rFonts w:hint="eastAsia" w:ascii="仿宋" w:hAnsi="仿宋" w:eastAsia="仿宋" w:cs="仿宋"/>
                <w:i w:val="0"/>
                <w:iCs w:val="0"/>
                <w:color w:val="000000"/>
                <w:sz w:val="24"/>
                <w:szCs w:val="24"/>
                <w:u w:val="none"/>
                <w:lang w:val="en-US" w:eastAsia="zh-CN"/>
              </w:rPr>
              <w:t>对接，实现医生工作站能调阅到已接入“智联网医院系统”检查检验共享监管子平台的医疗机构的影像检查数据</w:t>
            </w:r>
            <w:r>
              <w:rPr>
                <w:rFonts w:hint="eastAsia" w:ascii="仿宋" w:hAnsi="仿宋" w:eastAsia="仿宋" w:cs="仿宋"/>
                <w:i w:val="0"/>
                <w:iCs w:val="0"/>
                <w:color w:val="000000"/>
                <w:sz w:val="24"/>
                <w:szCs w:val="24"/>
                <w:u w:val="none"/>
              </w:rPr>
              <w:t>，须满足招标人在安徽省“智联网医院系统”核验确认。</w:t>
            </w:r>
          </w:p>
          <w:p w14:paraId="228741E3">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val="en-US" w:eastAsia="zh-CN"/>
              </w:rPr>
            </w:pPr>
            <w:r>
              <w:rPr>
                <w:rFonts w:hint="eastAsia" w:ascii="仿宋" w:hAnsi="仿宋" w:eastAsia="仿宋" w:cs="仿宋"/>
                <w:b/>
                <w:bCs/>
                <w:i w:val="0"/>
                <w:iCs w:val="0"/>
                <w:color w:val="000000"/>
                <w:sz w:val="24"/>
                <w:szCs w:val="24"/>
                <w:u w:val="none"/>
                <w:lang w:val="en-US" w:eastAsia="zh-CN"/>
              </w:rPr>
              <w:t>注：</w:t>
            </w:r>
            <w:r>
              <w:rPr>
                <w:rFonts w:hint="eastAsia" w:ascii="仿宋" w:hAnsi="仿宋" w:eastAsia="仿宋" w:cs="仿宋"/>
                <w:b/>
                <w:bCs/>
                <w:i w:val="0"/>
                <w:iCs w:val="0"/>
                <w:color w:val="000000"/>
                <w:sz w:val="24"/>
                <w:szCs w:val="24"/>
                <w:u w:val="none"/>
              </w:rPr>
              <w:t>针对本条款提供承诺函，格式自理</w:t>
            </w:r>
            <w:r>
              <w:rPr>
                <w:rFonts w:hint="eastAsia" w:ascii="仿宋" w:hAnsi="仿宋" w:eastAsia="仿宋" w:cs="仿宋"/>
                <w:b/>
                <w:bCs/>
                <w:i w:val="0"/>
                <w:iCs w:val="0"/>
                <w:color w:val="000000"/>
                <w:sz w:val="24"/>
                <w:szCs w:val="24"/>
                <w:u w:val="none"/>
                <w:lang w:eastAsia="zh-CN"/>
              </w:rPr>
              <w:t>。</w:t>
            </w:r>
          </w:p>
          <w:p w14:paraId="2FBDF835">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val="en-US" w:eastAsia="zh-CN"/>
              </w:rPr>
            </w:pPr>
            <w:r>
              <w:rPr>
                <w:rFonts w:hint="eastAsia" w:ascii="仿宋" w:hAnsi="仿宋" w:eastAsia="仿宋" w:cs="仿宋"/>
                <w:b/>
                <w:bCs/>
                <w:i w:val="0"/>
                <w:iCs w:val="0"/>
                <w:color w:val="000000"/>
                <w:sz w:val="24"/>
                <w:szCs w:val="24"/>
                <w:u w:val="none"/>
                <w:lang w:val="en-US" w:eastAsia="zh-CN"/>
              </w:rPr>
              <w:t>10.</w:t>
            </w:r>
            <w:r>
              <w:rPr>
                <w:rFonts w:hint="eastAsia" w:ascii="仿宋" w:hAnsi="仿宋" w:eastAsia="仿宋" w:cs="仿宋"/>
                <w:i w:val="0"/>
                <w:iCs w:val="0"/>
                <w:color w:val="000000"/>
                <w:sz w:val="24"/>
                <w:szCs w:val="24"/>
                <w:u w:val="none"/>
                <w:lang w:val="en-US" w:eastAsia="zh-CN"/>
              </w:rPr>
              <w:t>本项目为纯 SAAS模式服务，系统部署于中标人自有或合法授权的云平台，招标人通过互联网或专线访问系统，无需在招标人本地机房配置GPU服务器等硬件设备。</w:t>
            </w:r>
          </w:p>
          <w:p w14:paraId="55B07C5B">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二、肺结节AI辅助检测</w:t>
            </w:r>
          </w:p>
          <w:p w14:paraId="0E74B6C6">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lang w:val="en-US" w:eastAsia="zh-CN"/>
              </w:rPr>
              <w:t>1.</w:t>
            </w:r>
            <w:r>
              <w:rPr>
                <w:rFonts w:hint="eastAsia" w:ascii="仿宋" w:hAnsi="仿宋" w:eastAsia="仿宋" w:cs="仿宋"/>
                <w:color w:val="auto"/>
                <w:sz w:val="24"/>
                <w:szCs w:val="24"/>
                <w:lang w:val="en-US" w:eastAsia="zh-CN"/>
              </w:rPr>
              <w:t>支持对肺结节影像中感兴趣区域进行测量。具备长度测量、角度测量、区域测量，可得到区域内的面积、方差、平均值、最大值、最小值等测量信息。</w:t>
            </w:r>
          </w:p>
          <w:p w14:paraId="7B683FE5">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lang w:val="en-US" w:eastAsia="zh-CN"/>
              </w:rPr>
              <w:t>2.</w:t>
            </w:r>
            <w:r>
              <w:rPr>
                <w:rFonts w:hint="eastAsia" w:ascii="仿宋" w:hAnsi="仿宋" w:eastAsia="仿宋" w:cs="仿宋"/>
                <w:color w:val="auto"/>
                <w:sz w:val="24"/>
                <w:szCs w:val="24"/>
                <w:lang w:val="en-US" w:eastAsia="zh-CN"/>
              </w:rPr>
              <w:t>支持将结节分为钙化结节、实性结节、非实性结节、疑似肿块、胸膜实性结节等5种类型，并展示在病灶列表中。</w:t>
            </w:r>
          </w:p>
          <w:p w14:paraId="286CF90E">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lang w:val="en-US" w:eastAsia="zh-CN"/>
              </w:rPr>
              <w:t>3.</w:t>
            </w:r>
            <w:r>
              <w:rPr>
                <w:rFonts w:hint="eastAsia" w:ascii="仿宋" w:hAnsi="仿宋" w:eastAsia="仿宋" w:cs="仿宋"/>
                <w:color w:val="auto"/>
                <w:sz w:val="24"/>
                <w:szCs w:val="24"/>
                <w:lang w:val="en-US" w:eastAsia="zh-CN"/>
              </w:rPr>
              <w:t>在系统精准识别影像中的肺结节后，自动定位结节所在的肺叶肺段位置及CT影像薄厚层层面，并展示在病灶列表中。</w:t>
            </w:r>
          </w:p>
          <w:p w14:paraId="39CE4CA1">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lang w:val="en-US" w:eastAsia="zh-CN"/>
              </w:rPr>
              <w:t>4</w:t>
            </w:r>
            <w:r>
              <w:rPr>
                <w:rFonts w:hint="eastAsia" w:ascii="仿宋" w:hAnsi="仿宋" w:eastAsia="仿宋" w:cs="仿宋"/>
                <w:color w:val="auto"/>
                <w:sz w:val="24"/>
                <w:szCs w:val="24"/>
                <w:lang w:val="en-US" w:eastAsia="zh-CN"/>
              </w:rPr>
              <w:t>.自动测量结节面积、体积数据（结节表面积、3D长径、3D最小径、最大面面积、结节质量）</w:t>
            </w:r>
          </w:p>
          <w:p w14:paraId="36A40E9E">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lang w:val="en-US" w:eastAsia="zh-CN"/>
              </w:rPr>
              <w:t>5</w:t>
            </w:r>
            <w:r>
              <w:rPr>
                <w:rFonts w:hint="eastAsia" w:ascii="仿宋" w:hAnsi="仿宋" w:eastAsia="仿宋" w:cs="仿宋"/>
                <w:color w:val="auto"/>
                <w:sz w:val="24"/>
                <w:szCs w:val="24"/>
                <w:lang w:val="en-US" w:eastAsia="zh-CN"/>
              </w:rPr>
              <w:t>.▲具备四角信息，可根据科室习惯对四角信息（如：医院、检查时间、患者姓名、设备型号、当前缩放比、窗宽窗位、当前CT值等）进行自定义配置，且四角信息支持显示/隐藏。</w:t>
            </w:r>
          </w:p>
          <w:p w14:paraId="54EEAB9F">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lang w:val="en-US" w:eastAsia="zh-CN"/>
              </w:rPr>
              <w:t>6</w:t>
            </w:r>
            <w:r>
              <w:rPr>
                <w:rFonts w:hint="eastAsia" w:ascii="仿宋" w:hAnsi="仿宋" w:eastAsia="仿宋" w:cs="仿宋"/>
                <w:color w:val="auto"/>
                <w:sz w:val="24"/>
                <w:szCs w:val="24"/>
                <w:lang w:val="en-US" w:eastAsia="zh-CN"/>
              </w:rPr>
              <w:t>.自动生成结节密度直方图。并在轴位图上用不同颜色展示结节实性成分和非实性成分区域。实性/非实性成分阈值可调整。</w:t>
            </w:r>
          </w:p>
          <w:p w14:paraId="19BC36DA">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b/>
                <w:bCs/>
                <w:i w:val="0"/>
                <w:iCs w:val="0"/>
                <w:color w:val="000000"/>
                <w:sz w:val="24"/>
                <w:szCs w:val="24"/>
                <w:u w:val="none"/>
                <w:lang w:eastAsia="zh-CN"/>
              </w:rPr>
            </w:pPr>
            <w:r>
              <w:rPr>
                <w:rFonts w:hint="eastAsia" w:ascii="仿宋" w:hAnsi="仿宋" w:eastAsia="仿宋" w:cs="仿宋"/>
                <w:b/>
                <w:bCs/>
                <w:i w:val="0"/>
                <w:iCs w:val="0"/>
                <w:color w:val="000000"/>
                <w:sz w:val="24"/>
                <w:szCs w:val="24"/>
                <w:u w:val="none"/>
                <w:lang w:eastAsia="zh-CN"/>
              </w:rPr>
              <w:t>三、中标人须同步开通以下功能：</w:t>
            </w:r>
          </w:p>
          <w:p w14:paraId="3253913F">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b/>
                <w:bCs/>
                <w:i w:val="0"/>
                <w:iCs w:val="0"/>
                <w:color w:val="000000"/>
                <w:sz w:val="24"/>
                <w:szCs w:val="24"/>
                <w:u w:val="none"/>
                <w:lang w:eastAsia="zh-CN"/>
              </w:rPr>
            </w:pPr>
            <w:r>
              <w:rPr>
                <w:rFonts w:hint="eastAsia" w:ascii="仿宋" w:hAnsi="仿宋" w:eastAsia="仿宋" w:cs="仿宋"/>
                <w:b/>
                <w:bCs/>
                <w:i w:val="0"/>
                <w:iCs w:val="0"/>
                <w:color w:val="000000"/>
                <w:sz w:val="24"/>
                <w:szCs w:val="24"/>
                <w:u w:val="none"/>
                <w:lang w:val="en-US" w:eastAsia="zh-CN"/>
              </w:rPr>
              <w:t>1.</w:t>
            </w:r>
            <w:r>
              <w:rPr>
                <w:rFonts w:hint="eastAsia" w:ascii="仿宋" w:hAnsi="仿宋" w:eastAsia="仿宋" w:cs="仿宋"/>
                <w:b/>
                <w:bCs/>
                <w:i w:val="0"/>
                <w:iCs w:val="0"/>
                <w:color w:val="000000"/>
                <w:sz w:val="24"/>
                <w:szCs w:val="24"/>
                <w:u w:val="none"/>
                <w:lang w:eastAsia="zh-CN"/>
              </w:rPr>
              <w:t>肺炎定量分析</w:t>
            </w:r>
          </w:p>
          <w:p w14:paraId="7E8EBA67">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(1)支持自动计算不同肺叶的炎性病灶体积、占肺叶的容积占比。</w:t>
            </w:r>
          </w:p>
          <w:p w14:paraId="4D4A6C79">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(2)支持自动计算肺部炎性病灶体积、占肺部的容积占比。</w:t>
            </w:r>
          </w:p>
          <w:p w14:paraId="4CB25F22">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(3)支持自动生成不同肺叶的炎性病灶密度分布图，并可任意组合不同肺叶的病灶密度分布图。</w:t>
            </w:r>
          </w:p>
          <w:p w14:paraId="72AA7272">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(4)支持自动生成肺部的炎性病灶密度分布表。</w:t>
            </w:r>
          </w:p>
          <w:p w14:paraId="04CA7F86">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b/>
                <w:bCs/>
                <w:i w:val="0"/>
                <w:iCs w:val="0"/>
                <w:color w:val="000000"/>
                <w:sz w:val="24"/>
                <w:szCs w:val="24"/>
                <w:u w:val="none"/>
                <w:lang w:eastAsia="zh-CN"/>
              </w:rPr>
            </w:pPr>
            <w:r>
              <w:rPr>
                <w:rFonts w:hint="eastAsia" w:ascii="仿宋" w:hAnsi="仿宋" w:eastAsia="仿宋" w:cs="仿宋"/>
                <w:b/>
                <w:bCs/>
                <w:i w:val="0"/>
                <w:iCs w:val="0"/>
                <w:color w:val="000000"/>
                <w:sz w:val="24"/>
                <w:szCs w:val="24"/>
                <w:u w:val="none"/>
                <w:lang w:val="en-US" w:eastAsia="zh-CN"/>
              </w:rPr>
              <w:t>2.</w:t>
            </w:r>
            <w:r>
              <w:rPr>
                <w:rFonts w:hint="eastAsia" w:ascii="仿宋" w:hAnsi="仿宋" w:eastAsia="仿宋" w:cs="仿宋"/>
                <w:b/>
                <w:bCs/>
                <w:i w:val="0"/>
                <w:iCs w:val="0"/>
                <w:color w:val="000000"/>
                <w:sz w:val="24"/>
                <w:szCs w:val="24"/>
                <w:u w:val="none"/>
                <w:lang w:eastAsia="zh-CN"/>
              </w:rPr>
              <w:t>胸部骨折AI辅助检测</w:t>
            </w:r>
          </w:p>
          <w:p w14:paraId="7DAD5352">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(1)支持对胸部骨折影像中感兴趣区域进行测量。具备长度测量、角度测量、区域测量。</w:t>
            </w:r>
          </w:p>
          <w:p w14:paraId="62F03E4F">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(2)骨病灶VR重建，系统支持VR展示功能，支持360度水平旋转，辅助医生更精准地诊断病灶与位置。</w:t>
            </w:r>
          </w:p>
          <w:p w14:paraId="1EAAEA8D">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(3)支持针对单根肋骨进行CPR重建，可进行拉直曲面重建（Straightened CPR）和伸展曲面重建（Stretched CPR）两种重建方式；具备单根、单侧、全部肋骨的拉直曲面重建（Straightened CPR）图像展示功能。</w:t>
            </w:r>
          </w:p>
          <w:p w14:paraId="3ED6DA33">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(4)局部动态图：自动生成指定病灶骨折轴位局部动态图；局部VMIP图：生成指定病灶骨折VMIP局部动态图。</w:t>
            </w:r>
          </w:p>
          <w:p w14:paraId="1256D940">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(5)自动检出胸部骨骼可疑病灶，并自动提示骨折位置信息（前／后，左／右位置）的功能。</w:t>
            </w:r>
          </w:p>
          <w:p w14:paraId="5252F41D">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(6)当系统检出肋骨骨折后，自动判别、输出骨折位于0到12根肋骨中的哪一条肋骨，并支持手动修改、选择肋骨骨折数。</w:t>
            </w:r>
          </w:p>
          <w:p w14:paraId="6FB4E0FB">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b/>
                <w:bCs/>
                <w:i w:val="0"/>
                <w:iCs w:val="0"/>
                <w:color w:val="000000"/>
                <w:sz w:val="24"/>
                <w:szCs w:val="24"/>
                <w:u w:val="none"/>
                <w:lang w:eastAsia="zh-CN"/>
              </w:rPr>
            </w:pPr>
            <w:r>
              <w:rPr>
                <w:rFonts w:hint="eastAsia" w:ascii="仿宋" w:hAnsi="仿宋" w:eastAsia="仿宋" w:cs="仿宋"/>
                <w:b/>
                <w:bCs/>
                <w:i w:val="0"/>
                <w:iCs w:val="0"/>
                <w:color w:val="000000"/>
                <w:sz w:val="24"/>
                <w:szCs w:val="24"/>
                <w:u w:val="none"/>
                <w:lang w:val="en-US" w:eastAsia="zh-CN"/>
              </w:rPr>
              <w:t>3.</w:t>
            </w:r>
            <w:r>
              <w:rPr>
                <w:rFonts w:hint="eastAsia" w:ascii="仿宋" w:hAnsi="仿宋" w:eastAsia="仿宋" w:cs="仿宋"/>
                <w:b/>
                <w:bCs/>
                <w:i w:val="0"/>
                <w:iCs w:val="0"/>
                <w:color w:val="000000"/>
                <w:sz w:val="24"/>
                <w:szCs w:val="24"/>
                <w:u w:val="none"/>
                <w:lang w:eastAsia="zh-CN"/>
              </w:rPr>
              <w:t>钙化积分智能检测</w:t>
            </w:r>
          </w:p>
          <w:p w14:paraId="3AC62975">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(1)支持对比显示原始图像与钙化标记图像。</w:t>
            </w:r>
          </w:p>
          <w:p w14:paraId="33B112E2">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(2)支持手动调整钙化标记的透明度。</w:t>
            </w:r>
          </w:p>
          <w:p w14:paraId="40125E1F">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(3)支持识别钙化所在血管的名称。</w:t>
            </w:r>
          </w:p>
          <w:p w14:paraId="03A708F8">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(4)支持左冠状动脉主干钙化识别及容积测量。</w:t>
            </w:r>
          </w:p>
          <w:p w14:paraId="34A7892B">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(5)支持左前降支钙化识别及容积测量。</w:t>
            </w:r>
          </w:p>
          <w:p w14:paraId="082C8CDE">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(6)支持左回旋支动脉钙化识别及容积测量。</w:t>
            </w:r>
          </w:p>
          <w:p w14:paraId="0C15AA8E">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(7)支持右冠状动脉钙化识别及容积测量。</w:t>
            </w:r>
          </w:p>
          <w:p w14:paraId="3871AEE5">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(8)支持根据Agatston方法计算钙化积分。</w:t>
            </w:r>
          </w:p>
          <w:p w14:paraId="7913B010">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(9)支持自动评价RCA、LM、LAD、LCX的钙化程度。</w:t>
            </w:r>
          </w:p>
          <w:p w14:paraId="44B0D23E">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(10)支持自动评价整体的钙化程度。</w:t>
            </w:r>
          </w:p>
          <w:p w14:paraId="12C3450E">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(11)支持提供冠脉钙化积分百分位数。</w:t>
            </w:r>
          </w:p>
          <w:p w14:paraId="7C99C62C">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b/>
                <w:bCs/>
                <w:i w:val="0"/>
                <w:iCs w:val="0"/>
                <w:color w:val="000000"/>
                <w:sz w:val="24"/>
                <w:szCs w:val="24"/>
                <w:u w:val="none"/>
                <w:lang w:eastAsia="zh-CN"/>
              </w:rPr>
            </w:pPr>
            <w:r>
              <w:rPr>
                <w:rFonts w:hint="eastAsia" w:ascii="仿宋" w:hAnsi="仿宋" w:eastAsia="仿宋" w:cs="仿宋"/>
                <w:b/>
                <w:bCs/>
                <w:i w:val="0"/>
                <w:iCs w:val="0"/>
                <w:color w:val="000000"/>
                <w:sz w:val="24"/>
                <w:szCs w:val="24"/>
                <w:u w:val="none"/>
                <w:lang w:val="en-US" w:eastAsia="zh-CN"/>
              </w:rPr>
              <w:t>4.</w:t>
            </w:r>
            <w:r>
              <w:rPr>
                <w:rFonts w:hint="eastAsia" w:ascii="仿宋" w:hAnsi="仿宋" w:eastAsia="仿宋" w:cs="仿宋"/>
                <w:b/>
                <w:bCs/>
                <w:i w:val="0"/>
                <w:iCs w:val="0"/>
                <w:color w:val="000000"/>
                <w:sz w:val="24"/>
                <w:szCs w:val="24"/>
                <w:u w:val="none"/>
                <w:lang w:eastAsia="zh-CN"/>
              </w:rPr>
              <w:t>冠脉CTA智能分析</w:t>
            </w:r>
          </w:p>
          <w:p w14:paraId="679ECC7E">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(1)支持的处理包括：全自动冠状动脉分割、冠脉树三维体渲染（VRTree）、心脏三维体渲染（VR）、冠脉最大密度投影(VMIP/VMIPTree)、冠脉反色最大密度投影（inverseVMIP、inverseVMIPTree）血管内腔曲面重建(CPR)、血管拉直（Lumen，又称拉直曲面重建StretchedCPR）等不同的观察视角，方便医生全面观察冠状动脉血管的结构。</w:t>
            </w:r>
          </w:p>
          <w:p w14:paraId="657AD15F">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(2)支持可全方位分析冠脉斑块与狭窄情况，包括狭窄程度、斑块类型、斑块成分等。</w:t>
            </w:r>
          </w:p>
          <w:p w14:paraId="1B46A777">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(3)斑块自动检出并提供量化指标：斑块成分、长度、体积、负荷和血管狭窄程度等。</w:t>
            </w:r>
          </w:p>
          <w:p w14:paraId="7498D568">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(4)自动定位斑块位置，并详细分割斑块成分。同时以彩色的形式展现出来，从而更容易判断餐巾纸环征等高危征象，辅助医生更准确判断HRP。</w:t>
            </w:r>
          </w:p>
          <w:p w14:paraId="01A46BEB">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(5)冠脉CTA中的冠状动脉PVAT炎症和HRP斑块征象相结合，可以对心血管风险进行预测。</w:t>
            </w:r>
          </w:p>
          <w:p w14:paraId="36382984">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b/>
                <w:bCs/>
                <w:i w:val="0"/>
                <w:iCs w:val="0"/>
                <w:color w:val="000000"/>
                <w:sz w:val="24"/>
                <w:szCs w:val="24"/>
                <w:u w:val="none"/>
                <w:lang w:eastAsia="zh-CN"/>
              </w:rPr>
            </w:pPr>
            <w:r>
              <w:rPr>
                <w:rFonts w:hint="eastAsia" w:ascii="仿宋" w:hAnsi="仿宋" w:eastAsia="仿宋" w:cs="仿宋"/>
                <w:b/>
                <w:bCs/>
                <w:i w:val="0"/>
                <w:iCs w:val="0"/>
                <w:color w:val="000000"/>
                <w:sz w:val="24"/>
                <w:szCs w:val="24"/>
                <w:u w:val="none"/>
                <w:lang w:val="en-US" w:eastAsia="zh-CN"/>
              </w:rPr>
              <w:t>5.</w:t>
            </w:r>
            <w:r>
              <w:rPr>
                <w:rFonts w:hint="eastAsia" w:ascii="仿宋" w:hAnsi="仿宋" w:eastAsia="仿宋" w:cs="仿宋"/>
                <w:b/>
                <w:bCs/>
                <w:i w:val="0"/>
                <w:iCs w:val="0"/>
                <w:color w:val="000000"/>
                <w:sz w:val="24"/>
                <w:szCs w:val="24"/>
                <w:u w:val="none"/>
                <w:lang w:eastAsia="zh-CN"/>
              </w:rPr>
              <w:t>头颈CTA智能分析</w:t>
            </w:r>
          </w:p>
          <w:p w14:paraId="7AC05E25">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(6)自动分析冠状动脉管腔内放射性衰减梯度，辅助评价冠状动脉功能性狭窄程度。</w:t>
            </w:r>
          </w:p>
          <w:p w14:paraId="2A6D5E63">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(1)系统能够对动脉瘤、斑块与狭窄位置进行识别，支持对病灶的定性与定量分析。</w:t>
            </w:r>
          </w:p>
          <w:p w14:paraId="3E9DD4EA">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(2)系统具备Willis自动分析功能，可以自动识别Willis环变异情况，并提供Willis变异模型图。</w:t>
            </w:r>
          </w:p>
          <w:p w14:paraId="24C55BD7">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(3)支持血管编辑功能，包含对血管中线的编辑、与原图序列标记的联动重建、以及一键还原功能。</w:t>
            </w:r>
          </w:p>
          <w:p w14:paraId="6BA4A144">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b/>
                <w:bCs/>
                <w:i w:val="0"/>
                <w:iCs w:val="0"/>
                <w:color w:val="000000"/>
                <w:sz w:val="24"/>
                <w:szCs w:val="24"/>
                <w:u w:val="none"/>
                <w:lang w:eastAsia="zh-CN"/>
              </w:rPr>
            </w:pPr>
            <w:r>
              <w:rPr>
                <w:rFonts w:hint="eastAsia" w:ascii="仿宋" w:hAnsi="仿宋" w:eastAsia="仿宋" w:cs="仿宋"/>
                <w:b/>
                <w:bCs/>
                <w:i w:val="0"/>
                <w:iCs w:val="0"/>
                <w:color w:val="000000"/>
                <w:sz w:val="24"/>
                <w:szCs w:val="24"/>
                <w:u w:val="none"/>
                <w:lang w:val="en-US" w:eastAsia="zh-CN"/>
              </w:rPr>
              <w:t>6.</w:t>
            </w:r>
            <w:r>
              <w:rPr>
                <w:rFonts w:hint="eastAsia" w:ascii="仿宋" w:hAnsi="仿宋" w:eastAsia="仿宋" w:cs="仿宋"/>
                <w:b/>
                <w:bCs/>
                <w:i w:val="0"/>
                <w:iCs w:val="0"/>
                <w:color w:val="000000"/>
                <w:sz w:val="24"/>
                <w:szCs w:val="24"/>
                <w:u w:val="none"/>
                <w:lang w:eastAsia="zh-CN"/>
              </w:rPr>
              <w:t>脑出血AI辅助检测</w:t>
            </w:r>
          </w:p>
          <w:p w14:paraId="1EF1E492">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(1)支持对脑部影像中感兴趣区域进行测量。</w:t>
            </w:r>
          </w:p>
          <w:p w14:paraId="5332613E">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(2)支持自定义标签进行注释。支持在脑部影像图像区域选中位置添加文本标签。</w:t>
            </w:r>
          </w:p>
          <w:p w14:paraId="7DC68956">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(3)系统能自动识别医学图像中的脑出血，并展示在影像上进行精准勾画，显示出血的具体位置和范围。</w:t>
            </w:r>
          </w:p>
          <w:p w14:paraId="081B5081">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(4)针对出血块提示最大出血长短径，帮助医生快速判断出出血最大层面。</w:t>
            </w:r>
          </w:p>
          <w:p w14:paraId="63297FAE">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(5)脑出血的位置对于患者病情的严重程度的判断有着至关重要的影响，针对每个出血块，系统能够自动给出脑出血受累脑区位置信息。</w:t>
            </w:r>
          </w:p>
          <w:p w14:paraId="6AFB3F2D">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(6)基于人工智能的分析结果，针对每个独立病灶，自动给出脑出血体积数据，为医生判断病灶情况提供参考。</w:t>
            </w:r>
          </w:p>
          <w:p w14:paraId="6795B929">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(7)自动判断病人有无可疑脑室受压情况，为医生判断病灶情况提供参考。</w:t>
            </w:r>
          </w:p>
          <w:p w14:paraId="4BC3FF55">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b/>
                <w:bCs/>
                <w:i w:val="0"/>
                <w:iCs w:val="0"/>
                <w:color w:val="000000"/>
                <w:sz w:val="24"/>
                <w:szCs w:val="24"/>
                <w:u w:val="none"/>
                <w:lang w:eastAsia="zh-CN"/>
              </w:rPr>
            </w:pPr>
            <w:r>
              <w:rPr>
                <w:rFonts w:hint="eastAsia" w:ascii="仿宋" w:hAnsi="仿宋" w:eastAsia="仿宋" w:cs="仿宋"/>
                <w:b/>
                <w:bCs/>
                <w:i w:val="0"/>
                <w:iCs w:val="0"/>
                <w:color w:val="000000"/>
                <w:sz w:val="24"/>
                <w:szCs w:val="24"/>
                <w:u w:val="none"/>
                <w:lang w:val="en-US" w:eastAsia="zh-CN"/>
              </w:rPr>
              <w:t>7.</w:t>
            </w:r>
            <w:r>
              <w:rPr>
                <w:rFonts w:hint="eastAsia" w:ascii="仿宋" w:hAnsi="仿宋" w:eastAsia="仿宋" w:cs="仿宋"/>
                <w:b/>
                <w:bCs/>
                <w:i w:val="0"/>
                <w:iCs w:val="0"/>
                <w:color w:val="000000"/>
                <w:sz w:val="24"/>
                <w:szCs w:val="24"/>
                <w:u w:val="none"/>
                <w:lang w:eastAsia="zh-CN"/>
              </w:rPr>
              <w:t>缺血性脑卒中AI辅助检测</w:t>
            </w:r>
          </w:p>
          <w:p w14:paraId="119B1967">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(1)支持对脑部影像中感兴趣区域进行测量。</w:t>
            </w:r>
          </w:p>
          <w:p w14:paraId="1EE66527">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(2)支持自定义标签进行注释。支持在脑部影像图像区域选中位置添加文本标签。</w:t>
            </w:r>
          </w:p>
          <w:p w14:paraId="58F400E1">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(3)系统自动识别并标记脑部影像图像中的多种影像学异常，点击病灶列表中的病灶即可跳转到相应层面。</w:t>
            </w:r>
          </w:p>
          <w:p w14:paraId="5A771CAC">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(4)支持对NCCT、CTP和CTA多模态影像的自动识别，对缺血病灶自动检测。</w:t>
            </w:r>
          </w:p>
          <w:p w14:paraId="2F3E6B80">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b/>
                <w:bCs/>
                <w:i w:val="0"/>
                <w:iCs w:val="0"/>
                <w:color w:val="000000"/>
                <w:spacing w:val="-11"/>
                <w:sz w:val="24"/>
                <w:szCs w:val="24"/>
                <w:u w:val="none"/>
                <w:lang w:eastAsia="zh-CN"/>
              </w:rPr>
            </w:pPr>
            <w:r>
              <w:rPr>
                <w:rFonts w:hint="eastAsia" w:ascii="仿宋" w:hAnsi="仿宋" w:eastAsia="仿宋" w:cs="仿宋"/>
                <w:b/>
                <w:bCs/>
                <w:i w:val="0"/>
                <w:iCs w:val="0"/>
                <w:color w:val="000000"/>
                <w:spacing w:val="-11"/>
                <w:sz w:val="24"/>
                <w:szCs w:val="24"/>
                <w:u w:val="none"/>
                <w:lang w:val="en-US" w:eastAsia="zh-CN"/>
              </w:rPr>
              <w:t xml:space="preserve">8.▲ </w:t>
            </w:r>
            <w:r>
              <w:rPr>
                <w:rFonts w:hint="eastAsia" w:ascii="仿宋" w:hAnsi="仿宋" w:eastAsia="仿宋" w:cs="仿宋"/>
                <w:b/>
                <w:bCs/>
                <w:i w:val="0"/>
                <w:iCs w:val="0"/>
                <w:color w:val="000000"/>
                <w:spacing w:val="-11"/>
                <w:sz w:val="24"/>
                <w:szCs w:val="24"/>
                <w:u w:val="none"/>
                <w:lang w:eastAsia="zh-CN"/>
              </w:rPr>
              <w:t>脑灌注（CTP）智能评估（承诺项目交付时</w:t>
            </w:r>
            <w:r>
              <w:rPr>
                <w:rFonts w:hint="eastAsia" w:ascii="仿宋" w:hAnsi="仿宋" w:eastAsia="仿宋" w:cs="仿宋"/>
                <w:b/>
                <w:bCs/>
                <w:i w:val="0"/>
                <w:iCs w:val="0"/>
                <w:color w:val="000000"/>
                <w:spacing w:val="-11"/>
                <w:sz w:val="24"/>
                <w:szCs w:val="24"/>
                <w:u w:val="none"/>
                <w:lang w:val="en-US" w:eastAsia="zh-CN"/>
              </w:rPr>
              <w:t>须</w:t>
            </w:r>
            <w:r>
              <w:rPr>
                <w:rFonts w:hint="eastAsia" w:ascii="仿宋" w:hAnsi="仿宋" w:eastAsia="仿宋" w:cs="仿宋"/>
                <w:b/>
                <w:bCs/>
                <w:i w:val="0"/>
                <w:iCs w:val="0"/>
                <w:color w:val="000000"/>
                <w:spacing w:val="-11"/>
                <w:sz w:val="24"/>
                <w:szCs w:val="24"/>
                <w:u w:val="none"/>
                <w:lang w:eastAsia="zh-CN"/>
              </w:rPr>
              <w:t>开通以</w:t>
            </w:r>
            <w:r>
              <w:rPr>
                <w:rFonts w:hint="eastAsia" w:ascii="仿宋" w:hAnsi="仿宋" w:eastAsia="仿宋" w:cs="仿宋"/>
                <w:b/>
                <w:bCs/>
                <w:i w:val="0"/>
                <w:iCs w:val="0"/>
                <w:color w:val="000000"/>
                <w:spacing w:val="-11"/>
                <w:sz w:val="24"/>
                <w:szCs w:val="24"/>
                <w:u w:val="none"/>
                <w:lang w:val="en-US" w:eastAsia="zh-CN"/>
              </w:rPr>
              <w:t>下</w:t>
            </w:r>
            <w:r>
              <w:rPr>
                <w:rFonts w:hint="eastAsia" w:ascii="仿宋" w:hAnsi="仿宋" w:eastAsia="仿宋" w:cs="仿宋"/>
                <w:b/>
                <w:bCs/>
                <w:i w:val="0"/>
                <w:iCs w:val="0"/>
                <w:color w:val="000000"/>
                <w:spacing w:val="-11"/>
                <w:sz w:val="24"/>
                <w:szCs w:val="24"/>
                <w:u w:val="none"/>
                <w:lang w:eastAsia="zh-CN"/>
              </w:rPr>
              <w:t>八种功能）</w:t>
            </w:r>
          </w:p>
          <w:p w14:paraId="77C90DBB">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(1)支持对脑灌注相关影像中感兴趣区域进行测量。</w:t>
            </w:r>
          </w:p>
          <w:p w14:paraId="38122053">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(2)具备脑灌注相关影像多平面重建（MPR）功能，支持轴位、冠状位、矢状位图像层厚和层间距调整并支持正交十字线、非正交十字线的任意角度旋转。</w:t>
            </w:r>
          </w:p>
          <w:p w14:paraId="7902B844">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(3)自动分析Mismatch正常/异常结果的功能，包含核心梗死体积、低灌注区体积、半暗带体积、Mismatch比值。</w:t>
            </w:r>
          </w:p>
          <w:p w14:paraId="5156E8BA">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(4)自动识别脑区，并且对各脑区的CBV、CBF、MTT、TTP、Tmax异常分析结果和变化情况进行显示。</w:t>
            </w:r>
          </w:p>
          <w:p w14:paraId="5E88B527">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(5)自动生成CBF、CBV、Tmax、MTT、TTP彩码图。</w:t>
            </w:r>
          </w:p>
          <w:p w14:paraId="6C9E643A">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(6)具备原图与tMIP图像显示与切换的功能。</w:t>
            </w:r>
          </w:p>
          <w:p w14:paraId="60EE1BC2">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(7)支持手动标动脉点、静脉点，手动修改中线；并根据编辑后的动脉点和静脉点的更新动态时间密度曲线（TDC）。</w:t>
            </w:r>
          </w:p>
          <w:p w14:paraId="77CFBE1F">
            <w:pPr>
              <w:pStyle w:val="3"/>
              <w:keepNext/>
              <w:keepLines/>
              <w:pageBreakBefore w:val="0"/>
              <w:widowControl w:val="0"/>
              <w:numPr>
                <w:ilvl w:val="0"/>
                <w:numId w:val="0"/>
              </w:numPr>
              <w:kinsoku/>
              <w:wordWrap w:val="0"/>
              <w:overflowPunct/>
              <w:topLinePunct w:val="0"/>
              <w:autoSpaceDE/>
              <w:autoSpaceDN/>
              <w:bidi w:val="0"/>
              <w:adjustRightInd/>
              <w:snapToGrid/>
              <w:spacing w:line="420" w:lineRule="exact"/>
              <w:ind w:leftChars="0"/>
              <w:jc w:val="both"/>
              <w:textAlignment w:val="auto"/>
              <w:rPr>
                <w:rFonts w:hint="eastAsia" w:ascii="仿宋" w:hAnsi="仿宋" w:eastAsia="仿宋" w:cs="仿宋"/>
                <w:i w:val="0"/>
                <w:iCs w:val="0"/>
                <w:color w:val="000000"/>
                <w:spacing w:val="-6"/>
                <w:sz w:val="24"/>
                <w:szCs w:val="24"/>
                <w:u w:val="none"/>
                <w:lang w:eastAsia="zh-CN"/>
              </w:rPr>
            </w:pPr>
            <w:r>
              <w:rPr>
                <w:rFonts w:hint="eastAsia" w:ascii="仿宋" w:hAnsi="仿宋" w:eastAsia="仿宋" w:cs="仿宋"/>
                <w:i w:val="0"/>
                <w:iCs w:val="0"/>
                <w:color w:val="000000"/>
                <w:sz w:val="24"/>
                <w:szCs w:val="24"/>
                <w:u w:val="none"/>
                <w:lang w:eastAsia="zh-CN"/>
              </w:rPr>
              <w:t>(</w:t>
            </w:r>
            <w:r>
              <w:rPr>
                <w:rFonts w:hint="eastAsia" w:ascii="仿宋" w:hAnsi="仿宋" w:eastAsia="仿宋" w:cs="仿宋"/>
                <w:i w:val="0"/>
                <w:iCs w:val="0"/>
                <w:color w:val="000000"/>
                <w:spacing w:val="-6"/>
                <w:sz w:val="24"/>
                <w:szCs w:val="24"/>
                <w:u w:val="none"/>
                <w:lang w:eastAsia="zh-CN"/>
              </w:rPr>
              <w:t>8)具备自动识别脑区，并生成Mismatch视图与分析结果展示功能。</w:t>
            </w:r>
          </w:p>
          <w:p w14:paraId="5D503F89">
            <w:pPr>
              <w:pStyle w:val="3"/>
              <w:keepNext/>
              <w:keepLines/>
              <w:pageBreakBefore w:val="0"/>
              <w:widowControl w:val="0"/>
              <w:numPr>
                <w:ilvl w:val="0"/>
                <w:numId w:val="0"/>
              </w:numPr>
              <w:kinsoku/>
              <w:wordWrap w:val="0"/>
              <w:overflowPunct/>
              <w:topLinePunct w:val="0"/>
              <w:autoSpaceDE/>
              <w:autoSpaceDN/>
              <w:bidi w:val="0"/>
              <w:adjustRightInd/>
              <w:snapToGrid/>
              <w:spacing w:line="360" w:lineRule="auto"/>
              <w:ind w:leftChars="0"/>
              <w:jc w:val="both"/>
              <w:textAlignment w:val="auto"/>
              <w:rPr>
                <w:rFonts w:hint="eastAsia" w:ascii="仿宋" w:hAnsi="仿宋" w:eastAsia="仿宋" w:cs="仿宋"/>
                <w:i w:val="0"/>
                <w:iCs w:val="0"/>
                <w:color w:val="000000"/>
                <w:sz w:val="24"/>
                <w:szCs w:val="24"/>
                <w:u w:val="none"/>
                <w:lang w:val="en-US" w:eastAsia="zh-CN"/>
              </w:rPr>
            </w:pPr>
            <w:r>
              <w:rPr>
                <w:rFonts w:hint="eastAsia" w:ascii="仿宋" w:hAnsi="仿宋" w:eastAsia="仿宋" w:cs="仿宋"/>
                <w:b/>
                <w:bCs/>
                <w:i w:val="0"/>
                <w:iCs w:val="0"/>
                <w:color w:val="000000"/>
                <w:sz w:val="24"/>
                <w:szCs w:val="24"/>
                <w:u w:val="none"/>
                <w:lang w:val="en-US" w:eastAsia="zh-CN"/>
              </w:rPr>
              <w:t>注：须提供承诺函，</w:t>
            </w:r>
            <w:r>
              <w:rPr>
                <w:rFonts w:hint="eastAsia" w:ascii="仿宋" w:hAnsi="仿宋" w:eastAsia="仿宋" w:cs="仿宋"/>
                <w:b/>
                <w:bCs/>
                <w:i w:val="0"/>
                <w:iCs w:val="0"/>
                <w:color w:val="000000"/>
                <w:sz w:val="24"/>
                <w:szCs w:val="24"/>
                <w:u w:val="none"/>
              </w:rPr>
              <w:t>格式自理</w:t>
            </w:r>
            <w:r>
              <w:rPr>
                <w:rFonts w:hint="eastAsia" w:ascii="仿宋" w:hAnsi="仿宋" w:eastAsia="仿宋" w:cs="仿宋"/>
                <w:b/>
                <w:bCs/>
                <w:i w:val="0"/>
                <w:iCs w:val="0"/>
                <w:color w:val="000000"/>
                <w:sz w:val="24"/>
                <w:szCs w:val="24"/>
                <w:u w:val="none"/>
                <w:lang w:eastAsia="zh-CN"/>
              </w:rPr>
              <w:t>。</w:t>
            </w:r>
          </w:p>
        </w:tc>
      </w:tr>
    </w:tbl>
    <w:p w14:paraId="794419C5">
      <w:pPr>
        <w:keepNext/>
        <w:keepLines/>
        <w:pageBreakBefore w:val="0"/>
        <w:widowControl w:val="0"/>
        <w:kinsoku/>
        <w:wordWrap w:val="0"/>
        <w:overflowPunct/>
        <w:topLinePunct w:val="0"/>
        <w:autoSpaceDE/>
        <w:autoSpaceDN/>
        <w:bidi w:val="0"/>
        <w:adjustRightInd/>
        <w:snapToGrid/>
        <w:spacing w:line="420" w:lineRule="exact"/>
        <w:textAlignment w:val="auto"/>
        <w:rPr>
          <w:rFonts w:hint="eastAsia" w:ascii="仿宋" w:hAnsi="仿宋" w:eastAsia="仿宋" w:cs="仿宋"/>
          <w:b/>
          <w:bCs/>
          <w:sz w:val="28"/>
          <w:szCs w:val="28"/>
          <w:highlight w:val="yellow"/>
          <w:lang w:val="en-US" w:eastAsia="zh-CN"/>
        </w:rPr>
      </w:pPr>
      <w:r>
        <w:rPr>
          <w:rFonts w:hint="eastAsia" w:ascii="仿宋" w:hAnsi="仿宋" w:eastAsia="仿宋" w:cs="仿宋"/>
          <w:b/>
          <w:bCs/>
          <w:sz w:val="28"/>
          <w:szCs w:val="28"/>
          <w:lang w:val="en-US" w:eastAsia="zh-CN"/>
        </w:rPr>
        <w:t>注：1、</w:t>
      </w:r>
      <w:r>
        <w:rPr>
          <w:rFonts w:hint="eastAsia" w:ascii="仿宋" w:hAnsi="仿宋" w:eastAsia="仿宋" w:cs="仿宋"/>
          <w:b/>
          <w:bCs/>
          <w:sz w:val="28"/>
          <w:szCs w:val="28"/>
          <w:highlight w:val="none"/>
          <w:lang w:val="en-US" w:eastAsia="zh-CN"/>
        </w:rPr>
        <w:t>以上技术参数中标注“▲”条款作为评分项，详见评分细则。响应文件中需提供技术支持资料（包括但不限于说明书、彩页、官网截图、系统界面截图或图片，磋商文件中明确提供承诺函的提供承诺函即可。为便于评审，投标人对技术支持材料中的关键参数进行标注并标注页码）。</w:t>
      </w:r>
    </w:p>
    <w:p w14:paraId="06C4403E">
      <w:pPr>
        <w:keepNext/>
        <w:keepLines/>
        <w:pageBreakBefore w:val="0"/>
        <w:widowControl w:val="0"/>
        <w:kinsoku/>
        <w:wordWrap w:val="0"/>
        <w:overflowPunct/>
        <w:topLinePunct w:val="0"/>
        <w:autoSpaceDE/>
        <w:autoSpaceDN/>
        <w:bidi w:val="0"/>
        <w:adjustRightInd/>
        <w:snapToGrid/>
        <w:spacing w:line="420" w:lineRule="exact"/>
        <w:ind w:firstLine="56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2、本项目采购的相关系统管理软件需符合财政部、工业和信息化部颁发的《操作系统政府采购需求标准（2023 年版）》、《台式式计算机政府采购需求标准（2023 年版）》、《通用服务器政府采购需求标准（2023 版）》、《工作站政府采购需求标准（2023 年版）》等文件要求，如履约验收期间所投产品不满足相关文件要求，采购人有权追究中标人的违约责任，中标人承担由此产生的一切后果及责任。</w:t>
      </w:r>
    </w:p>
    <w:p w14:paraId="6CD3B55C">
      <w:pPr>
        <w:keepNext/>
        <w:keepLines/>
        <w:pageBreakBefore w:val="0"/>
        <w:widowControl w:val="0"/>
        <w:kinsoku/>
        <w:wordWrap w:val="0"/>
        <w:overflowPunct/>
        <w:topLinePunct w:val="0"/>
        <w:autoSpaceDE/>
        <w:autoSpaceDN/>
        <w:bidi w:val="0"/>
        <w:adjustRightInd/>
        <w:snapToGrid/>
        <w:spacing w:line="420" w:lineRule="exact"/>
        <w:ind w:firstLine="56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本项目拒绝采购进口产品。</w:t>
      </w:r>
    </w:p>
    <w:p w14:paraId="75070391">
      <w:pPr>
        <w:keepNext/>
        <w:keepLines/>
        <w:pageBreakBefore w:val="0"/>
        <w:widowControl w:val="0"/>
        <w:kinsoku/>
        <w:wordWrap w:val="0"/>
        <w:overflowPunct/>
        <w:topLinePunct w:val="0"/>
        <w:autoSpaceDE/>
        <w:autoSpaceDN/>
        <w:bidi w:val="0"/>
        <w:adjustRightInd/>
        <w:snapToGrid/>
        <w:spacing w:line="420" w:lineRule="exact"/>
        <w:ind w:firstLine="56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4、政府采购政策(包括但不限于下列具体政策要求):</w:t>
      </w:r>
    </w:p>
    <w:p w14:paraId="68EBD866">
      <w:pPr>
        <w:keepNext/>
        <w:keepLines w:val="0"/>
        <w:pageBreakBefore w:val="0"/>
        <w:widowControl w:val="0"/>
        <w:kinsoku w:val="0"/>
        <w:wordWrap/>
        <w:overflowPunct w:val="0"/>
        <w:topLinePunct w:val="0"/>
        <w:autoSpaceDE w:val="0"/>
        <w:autoSpaceDN w:val="0"/>
        <w:bidi w:val="0"/>
        <w:adjustRightInd w:val="0"/>
        <w:snapToGrid w:val="0"/>
        <w:spacing w:line="420" w:lineRule="exact"/>
        <w:ind w:firstLine="259" w:firstLineChars="100"/>
        <w:textAlignment w:val="auto"/>
        <w:rPr>
          <w:rFonts w:hint="eastAsia" w:ascii="仿宋" w:hAnsi="仿宋" w:eastAsia="仿宋" w:cs="仿宋"/>
          <w:b/>
          <w:bCs/>
          <w:spacing w:val="-11"/>
          <w:sz w:val="28"/>
          <w:szCs w:val="28"/>
          <w:lang w:val="en-US" w:eastAsia="zh-CN"/>
        </w:rPr>
      </w:pPr>
      <w:r>
        <w:rPr>
          <w:rFonts w:hint="eastAsia" w:ascii="仿宋" w:hAnsi="仿宋" w:eastAsia="仿宋" w:cs="仿宋"/>
          <w:b/>
          <w:bCs/>
          <w:spacing w:val="-11"/>
          <w:sz w:val="28"/>
          <w:szCs w:val="28"/>
          <w:lang w:val="en-US" w:eastAsia="zh-CN"/>
        </w:rPr>
        <w:t>(1)如属于《节能产品政府采购品目清单》中政府强制采购的节能产品，则供应商所投产品须具有市场监管总局公布的《参与实施政府采购节能产品认证机构目录》中的认证机构出具的、处于有效期内的节能产品认证证书。</w:t>
      </w:r>
    </w:p>
    <w:p w14:paraId="218D0D7D">
      <w:pPr>
        <w:keepNext/>
        <w:keepLines w:val="0"/>
        <w:pageBreakBefore w:val="0"/>
        <w:widowControl w:val="0"/>
        <w:kinsoku w:val="0"/>
        <w:wordWrap/>
        <w:overflowPunct w:val="0"/>
        <w:topLinePunct w:val="0"/>
        <w:autoSpaceDE w:val="0"/>
        <w:autoSpaceDN w:val="0"/>
        <w:bidi w:val="0"/>
        <w:adjustRightInd w:val="0"/>
        <w:snapToGrid w:val="0"/>
        <w:spacing w:line="420" w:lineRule="exact"/>
        <w:ind w:firstLine="281" w:firstLineChars="100"/>
        <w:textAlignment w:val="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lang w:val="en-US" w:eastAsia="zh-CN"/>
        </w:rPr>
        <w:t>（2）采购的货物如属于国家强制性CCC认证的应通过CCC认证，供应商所投产品如已列入国家强制性产品认证目录的，均应符合国家强制性产品认证（CCC）要求，响应文件中出具承诺函，承诺对于国家强制性产品认证目录范围的产品，若因未通过强制性认证而产生的一切法律责任及经济损失，均由供应商自行承担，</w:t>
      </w:r>
      <w:r>
        <w:rPr>
          <w:rFonts w:hint="eastAsia" w:ascii="仿宋" w:hAnsi="仿宋" w:eastAsia="仿宋" w:cs="仿宋"/>
          <w:b/>
          <w:bCs/>
          <w:sz w:val="28"/>
          <w:szCs w:val="28"/>
          <w:highlight w:val="none"/>
          <w:lang w:val="en-US" w:eastAsia="zh-CN"/>
        </w:rPr>
        <w:t>承诺函格式自拟。</w:t>
      </w:r>
    </w:p>
    <w:p w14:paraId="65E3C2DE">
      <w:pPr>
        <w:keepNext/>
        <w:keepLines w:val="0"/>
        <w:pageBreakBefore w:val="0"/>
        <w:widowControl w:val="0"/>
        <w:kinsoku w:val="0"/>
        <w:wordWrap/>
        <w:overflowPunct w:val="0"/>
        <w:topLinePunct w:val="0"/>
        <w:autoSpaceDE w:val="0"/>
        <w:autoSpaceDN w:val="0"/>
        <w:bidi w:val="0"/>
        <w:adjustRightInd w:val="0"/>
        <w:snapToGrid w:val="0"/>
        <w:spacing w:line="420" w:lineRule="exact"/>
        <w:textAlignment w:val="auto"/>
        <w:rPr>
          <w:rFonts w:hint="eastAsia" w:ascii="仿宋" w:hAnsi="仿宋" w:eastAsia="仿宋" w:cs="仿宋"/>
          <w:sz w:val="28"/>
          <w:szCs w:val="28"/>
        </w:rPr>
      </w:pPr>
      <w:r>
        <w:rPr>
          <w:rFonts w:hint="eastAsia" w:ascii="仿宋" w:hAnsi="仿宋" w:eastAsia="仿宋" w:cs="仿宋"/>
          <w:b/>
          <w:bCs/>
          <w:sz w:val="28"/>
          <w:szCs w:val="28"/>
          <w:lang w:val="en-US" w:eastAsia="zh-CN"/>
        </w:rPr>
        <w:t>二</w:t>
      </w:r>
      <w:bookmarkStart w:id="0" w:name="_GoBack"/>
      <w:bookmarkEnd w:id="0"/>
      <w:r>
        <w:rPr>
          <w:rFonts w:hint="eastAsia" w:ascii="仿宋" w:hAnsi="仿宋" w:eastAsia="仿宋" w:cs="仿宋"/>
          <w:b/>
          <w:bCs/>
          <w:sz w:val="28"/>
          <w:szCs w:val="28"/>
          <w:lang w:val="en-US" w:eastAsia="zh-CN"/>
        </w:rPr>
        <w:t>、</w:t>
      </w:r>
      <w:r>
        <w:rPr>
          <w:rFonts w:hint="eastAsia" w:ascii="仿宋" w:hAnsi="仿宋" w:eastAsia="仿宋" w:cs="仿宋"/>
          <w:b/>
          <w:bCs/>
          <w:sz w:val="28"/>
          <w:szCs w:val="28"/>
        </w:rPr>
        <w:t>其他要求</w:t>
      </w:r>
      <w:r>
        <w:rPr>
          <w:rFonts w:hint="eastAsia" w:ascii="仿宋" w:hAnsi="仿宋" w:eastAsia="仿宋" w:cs="仿宋"/>
          <w:b/>
          <w:bCs/>
          <w:sz w:val="28"/>
          <w:szCs w:val="28"/>
          <w:lang w:eastAsia="zh-CN"/>
        </w:rPr>
        <w:t>：</w:t>
      </w:r>
      <w:r>
        <w:rPr>
          <w:rFonts w:hint="eastAsia" w:ascii="仿宋" w:hAnsi="仿宋" w:eastAsia="仿宋" w:cs="仿宋"/>
          <w:b/>
          <w:bCs/>
          <w:sz w:val="28"/>
          <w:szCs w:val="28"/>
        </w:rPr>
        <w:t xml:space="preserve"> </w:t>
      </w:r>
      <w:r>
        <w:rPr>
          <w:rFonts w:hint="eastAsia" w:ascii="仿宋" w:hAnsi="仿宋" w:eastAsia="仿宋" w:cs="仿宋"/>
          <w:sz w:val="28"/>
          <w:szCs w:val="28"/>
        </w:rPr>
        <w:t xml:space="preserve"> </w:t>
      </w:r>
    </w:p>
    <w:p w14:paraId="091518BA">
      <w:pPr>
        <w:keepNext/>
        <w:keepLines w:val="0"/>
        <w:pageBreakBefore w:val="0"/>
        <w:widowControl w:val="0"/>
        <w:kinsoku w:val="0"/>
        <w:wordWrap/>
        <w:overflowPunct w:val="0"/>
        <w:topLinePunct w:val="0"/>
        <w:autoSpaceDE w:val="0"/>
        <w:autoSpaceDN w:val="0"/>
        <w:bidi w:val="0"/>
        <w:adjustRightInd w:val="0"/>
        <w:snapToGrid w:val="0"/>
        <w:spacing w:line="420" w:lineRule="exact"/>
        <w:ind w:firstLine="280" w:firstLineChars="1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1、</w:t>
      </w:r>
      <w:r>
        <w:rPr>
          <w:rFonts w:hint="eastAsia" w:ascii="仿宋" w:hAnsi="仿宋" w:eastAsia="仿宋" w:cs="仿宋"/>
          <w:sz w:val="28"/>
          <w:szCs w:val="28"/>
        </w:rPr>
        <w:t>成交供应商应承担</w:t>
      </w:r>
      <w:r>
        <w:rPr>
          <w:rFonts w:hint="eastAsia" w:ascii="仿宋" w:hAnsi="仿宋" w:eastAsia="仿宋" w:cs="仿宋"/>
          <w:sz w:val="28"/>
          <w:szCs w:val="28"/>
          <w:lang w:eastAsia="zh-CN"/>
        </w:rPr>
        <w:t>服务</w:t>
      </w:r>
      <w:r>
        <w:rPr>
          <w:rFonts w:hint="eastAsia" w:ascii="仿宋" w:hAnsi="仿宋" w:eastAsia="仿宋" w:cs="仿宋"/>
          <w:sz w:val="28"/>
          <w:szCs w:val="28"/>
        </w:rPr>
        <w:t>过程中所发生安全事故的责任和风险。</w:t>
      </w:r>
    </w:p>
    <w:p w14:paraId="0F7901E7">
      <w:pPr>
        <w:keepNext/>
        <w:keepLines w:val="0"/>
        <w:pageBreakBefore w:val="0"/>
        <w:widowControl w:val="0"/>
        <w:kinsoku w:val="0"/>
        <w:wordWrap/>
        <w:overflowPunct w:val="0"/>
        <w:topLinePunct w:val="0"/>
        <w:autoSpaceDE w:val="0"/>
        <w:autoSpaceDN w:val="0"/>
        <w:bidi w:val="0"/>
        <w:adjustRightInd w:val="0"/>
        <w:snapToGrid w:val="0"/>
        <w:spacing w:line="420" w:lineRule="exact"/>
        <w:ind w:firstLine="280" w:firstLineChars="1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2、成交供应商</w:t>
      </w:r>
      <w:r>
        <w:rPr>
          <w:rFonts w:hint="eastAsia" w:ascii="仿宋" w:hAnsi="仿宋" w:eastAsia="仿宋" w:cs="仿宋"/>
          <w:sz w:val="28"/>
          <w:szCs w:val="28"/>
        </w:rPr>
        <w:t>应保证符合现行国家相关标准和规范及</w:t>
      </w:r>
      <w:r>
        <w:rPr>
          <w:rFonts w:hint="eastAsia" w:ascii="仿宋" w:hAnsi="仿宋" w:eastAsia="仿宋" w:cs="仿宋"/>
          <w:sz w:val="28"/>
          <w:szCs w:val="28"/>
          <w:lang w:val="en-US" w:eastAsia="zh-CN"/>
        </w:rPr>
        <w:t>竞争性磋商文件</w:t>
      </w:r>
      <w:r>
        <w:rPr>
          <w:rFonts w:hint="eastAsia" w:ascii="仿宋" w:hAnsi="仿宋" w:eastAsia="仿宋" w:cs="仿宋"/>
          <w:sz w:val="28"/>
          <w:szCs w:val="28"/>
        </w:rPr>
        <w:t xml:space="preserve">要求，如因中标方原因，导致不能达到本项目的验收要求，采购人有权终止本项目，同时承担相应的违约责任。 </w:t>
      </w:r>
    </w:p>
    <w:p w14:paraId="0C555532">
      <w:pPr>
        <w:keepNext/>
        <w:keepLines w:val="0"/>
        <w:pageBreakBefore w:val="0"/>
        <w:widowControl w:val="0"/>
        <w:kinsoku w:val="0"/>
        <w:wordWrap/>
        <w:overflowPunct w:val="0"/>
        <w:topLinePunct w:val="0"/>
        <w:autoSpaceDE w:val="0"/>
        <w:autoSpaceDN w:val="0"/>
        <w:bidi w:val="0"/>
        <w:adjustRightInd w:val="0"/>
        <w:snapToGrid w:val="0"/>
        <w:spacing w:line="420" w:lineRule="exact"/>
        <w:ind w:firstLine="280" w:firstLineChars="100"/>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3、每年服务期满后，对前一年的服务进行综合考核评估，综合考核评估合格的，采购人与中标单位续签合同；综合考核评估不合格的，本合同终止。</w:t>
      </w:r>
    </w:p>
    <w:p w14:paraId="677F8A64">
      <w:pPr>
        <w:rPr>
          <w:rFonts w:hint="eastAsia" w:ascii="华文中宋" w:hAnsi="华文中宋" w:eastAsia="华文中宋" w:cs="华文中宋"/>
          <w:b/>
          <w:bCs/>
          <w:color w:val="000000"/>
          <w:spacing w:val="-28"/>
          <w:sz w:val="44"/>
          <w:szCs w:val="4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373831"/>
    <w:multiLevelType w:val="singleLevel"/>
    <w:tmpl w:val="EF373831"/>
    <w:lvl w:ilvl="0" w:tentative="0">
      <w:start w:val="1"/>
      <w:numFmt w:val="chineseCounting"/>
      <w:suff w:val="nothing"/>
      <w:lvlText w:val="%1、"/>
      <w:lvlJc w:val="left"/>
      <w:rPr>
        <w:rFonts w:hint="eastAsia"/>
      </w:rPr>
    </w:lvl>
  </w:abstractNum>
  <w:abstractNum w:abstractNumId="1">
    <w:nsid w:val="624A6CF0"/>
    <w:multiLevelType w:val="singleLevel"/>
    <w:tmpl w:val="624A6CF0"/>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70E3E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2"/>
    <w:basedOn w:val="1"/>
    <w:next w:val="3"/>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Indent"/>
    <w:basedOn w:val="1"/>
    <w:qFormat/>
    <w:uiPriority w:val="0"/>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3</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2026-03-02T07:43:30Z</dcterms:created>
  <dc:creator>admin</dc:creator>
  <cp:lastModifiedBy>夏未凉</cp:lastModifiedBy>
  <dcterms:modified xsi:type="dcterms:W3CDTF">2026-03-02T07:48:11Z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eyJoZGlkIjoiNDlhNDFmYmYwNmZjOTZkNGIyZGI1ZWY1YWVlNDg2MjciLCJ1c2VySWQiOiI0NDQ1MjU3MTgifQ==</vt:lpwstr>
  </property>
  <property fmtid="{D5CDD505-2E9C-101B-9397-08002B2CF9AE}" pid="4" name="ICV">
    <vt:lpwstr>F485D715E29441EDA500BFC75179FBDE_12</vt:lpwstr>
  </property>
</Properties>
</file>