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8407DE">
      <w:pPr>
        <w:keepNext/>
        <w:keepLines/>
        <w:pageBreakBefore w:val="0"/>
        <w:widowControl w:val="0"/>
        <w:kinsoku/>
        <w:wordWrap w:val="0"/>
        <w:overflowPunct/>
        <w:topLinePunct/>
        <w:autoSpaceDE/>
        <w:autoSpaceDN/>
        <w:bidi w:val="0"/>
        <w:ind w:firstLine="1518" w:firstLineChars="400"/>
        <w:jc w:val="both"/>
        <w:textAlignment w:val="auto"/>
        <w:rPr>
          <w:rFonts w:hint="default" w:ascii="华文隶书" w:hAnsi="宋体" w:eastAsia="宋体"/>
          <w:b/>
          <w:bCs/>
          <w:spacing w:val="-11"/>
          <w:sz w:val="72"/>
          <w:szCs w:val="72"/>
          <w:lang w:val="en-US" w:eastAsia="zh-CN"/>
        </w:rPr>
      </w:pPr>
      <w:r>
        <w:rPr>
          <w:rFonts w:hint="eastAsia" w:ascii="宋体" w:hAnsi="宋体"/>
          <w:b/>
          <w:bCs/>
          <w:color w:val="000000"/>
          <w:spacing w:val="-11"/>
          <w:sz w:val="40"/>
          <w:szCs w:val="36"/>
        </w:rPr>
        <w:t>枞阳县</w:t>
      </w:r>
      <w:r>
        <w:rPr>
          <w:rFonts w:hint="eastAsia" w:ascii="宋体" w:hAnsi="宋体"/>
          <w:b/>
          <w:bCs/>
          <w:color w:val="000000"/>
          <w:spacing w:val="-11"/>
          <w:sz w:val="40"/>
          <w:szCs w:val="36"/>
          <w:lang w:val="en-US" w:eastAsia="zh-CN"/>
        </w:rPr>
        <w:t>人民医院护士冬鞋采购项目</w:t>
      </w:r>
    </w:p>
    <w:p w14:paraId="4CFC10F2">
      <w:pPr>
        <w:keepNext/>
        <w:keepLines/>
        <w:pageBreakBefore w:val="0"/>
        <w:widowControl w:val="0"/>
        <w:kinsoku/>
        <w:wordWrap w:val="0"/>
        <w:overflowPunct/>
        <w:topLinePunct/>
        <w:autoSpaceDE/>
        <w:autoSpaceDN/>
        <w:bidi w:val="0"/>
        <w:ind w:firstLine="3614" w:firstLineChars="900"/>
        <w:textAlignment w:val="auto"/>
        <w:rPr>
          <w:rFonts w:hint="eastAsia" w:ascii="宋体" w:hAnsi="宋体"/>
          <w:b/>
          <w:bCs/>
          <w:kern w:val="44"/>
          <w:sz w:val="40"/>
          <w:szCs w:val="40"/>
          <w:lang w:val="en-US" w:eastAsia="zh-CN"/>
        </w:rPr>
      </w:pPr>
      <w:r>
        <w:rPr>
          <w:rFonts w:hint="eastAsia" w:ascii="宋体" w:hAnsi="宋体"/>
          <w:b/>
          <w:bCs/>
          <w:kern w:val="44"/>
          <w:sz w:val="40"/>
          <w:szCs w:val="40"/>
          <w:lang w:val="en-US" w:eastAsia="zh-CN"/>
        </w:rPr>
        <w:t>采购需求</w:t>
      </w:r>
    </w:p>
    <w:p w14:paraId="653356D6">
      <w:pPr>
        <w:keepNext/>
        <w:keepLines/>
        <w:pageBreakBefore w:val="0"/>
        <w:widowControl w:val="0"/>
        <w:kinsoku/>
        <w:wordWrap w:val="0"/>
        <w:overflowPunct/>
        <w:topLinePunct/>
        <w:autoSpaceDE/>
        <w:autoSpaceDN/>
        <w:bidi w:val="0"/>
        <w:textAlignment w:val="auto"/>
        <w:rPr>
          <w:b/>
          <w:bCs/>
          <w:sz w:val="28"/>
          <w:szCs w:val="24"/>
        </w:rPr>
      </w:pPr>
      <w:r>
        <w:rPr>
          <w:rFonts w:hint="eastAsia"/>
          <w:b/>
          <w:bCs/>
          <w:sz w:val="28"/>
          <w:szCs w:val="24"/>
        </w:rPr>
        <w:t>二、采购内容</w:t>
      </w:r>
    </w:p>
    <w:p w14:paraId="204FB3B7">
      <w:pPr>
        <w:keepNext/>
        <w:keepLines/>
        <w:pageBreakBefore w:val="0"/>
        <w:widowControl w:val="0"/>
        <w:kinsoku/>
        <w:wordWrap w:val="0"/>
        <w:overflowPunct/>
        <w:topLinePunct/>
        <w:autoSpaceDE/>
        <w:autoSpaceDN/>
        <w:bidi w:val="0"/>
        <w:textAlignment w:val="auto"/>
        <w:rPr>
          <w:rFonts w:hint="eastAsia"/>
          <w:b/>
          <w:bCs/>
          <w:sz w:val="28"/>
          <w:szCs w:val="24"/>
          <w:lang w:eastAsia="zh-CN"/>
        </w:rPr>
      </w:pPr>
      <w:r>
        <w:rPr>
          <w:rFonts w:hint="eastAsia"/>
          <w:sz w:val="28"/>
          <w:szCs w:val="24"/>
          <w:lang w:val="en-US" w:eastAsia="zh-CN"/>
        </w:rPr>
        <w:t>枞阳县人民医院需要采购一批护士冬季鞋，共407双。具体清单如下：</w:t>
      </w:r>
      <w:r>
        <w:rPr>
          <w:rFonts w:hint="eastAsia"/>
          <w:b/>
          <w:bCs/>
          <w:sz w:val="24"/>
          <w:szCs w:val="22"/>
          <w:lang w:eastAsia="zh-CN"/>
        </w:rPr>
        <w:t>（</w:t>
      </w:r>
      <w:r>
        <w:rPr>
          <w:rFonts w:hint="eastAsia"/>
          <w:b/>
          <w:bCs/>
          <w:sz w:val="24"/>
          <w:szCs w:val="22"/>
          <w:lang w:val="en-US" w:eastAsia="zh-CN"/>
        </w:rPr>
        <w:t>一</w:t>
      </w:r>
      <w:r>
        <w:rPr>
          <w:rFonts w:hint="eastAsia"/>
          <w:b/>
          <w:bCs/>
          <w:sz w:val="24"/>
          <w:szCs w:val="22"/>
          <w:lang w:eastAsia="zh-CN"/>
        </w:rPr>
        <w:t>）</w:t>
      </w:r>
      <w:r>
        <w:rPr>
          <w:rFonts w:hint="eastAsia"/>
          <w:b/>
          <w:bCs/>
          <w:sz w:val="24"/>
          <w:szCs w:val="22"/>
        </w:rPr>
        <w:t>技术参数及要求</w:t>
      </w:r>
      <w:r>
        <w:rPr>
          <w:rFonts w:hint="eastAsia"/>
          <w:b/>
          <w:bCs/>
          <w:sz w:val="24"/>
          <w:szCs w:val="22"/>
          <w:lang w:eastAsia="zh-CN"/>
        </w:rPr>
        <w:t>：</w:t>
      </w:r>
    </w:p>
    <w:tbl>
      <w:tblPr>
        <w:tblStyle w:val="2"/>
        <w:tblW w:w="10237" w:type="dxa"/>
        <w:tblInd w:w="-459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7"/>
        <w:gridCol w:w="750"/>
        <w:gridCol w:w="4063"/>
        <w:gridCol w:w="3007"/>
        <w:gridCol w:w="780"/>
        <w:gridCol w:w="780"/>
      </w:tblGrid>
      <w:tr w14:paraId="417E7F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8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8444DD">
            <w:pPr>
              <w:keepNext/>
              <w:keepLines w:val="0"/>
              <w:pageBreakBefore w:val="0"/>
              <w:widowControl/>
              <w:suppressLineNumbers w:val="0"/>
              <w:bidi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6D7BA8">
            <w:pPr>
              <w:keepNext/>
              <w:keepLines w:val="0"/>
              <w:pageBreakBefore w:val="0"/>
              <w:widowControl/>
              <w:suppressLineNumbers w:val="0"/>
              <w:bidi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名称</w:t>
            </w:r>
          </w:p>
        </w:tc>
        <w:tc>
          <w:tcPr>
            <w:tcW w:w="4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3550F8">
            <w:pPr>
              <w:keepNext/>
              <w:keepLines w:val="0"/>
              <w:pageBreakBefore w:val="0"/>
              <w:widowControl/>
              <w:suppressLineNumbers w:val="0"/>
              <w:bidi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主要技术参数</w:t>
            </w:r>
          </w:p>
        </w:tc>
        <w:tc>
          <w:tcPr>
            <w:tcW w:w="30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AC44D3">
            <w:pPr>
              <w:keepNext/>
              <w:keepLines w:val="0"/>
              <w:pageBreakBefore w:val="0"/>
              <w:widowControl/>
              <w:suppressLineNumbers w:val="0"/>
              <w:bidi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参考图片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1D7977">
            <w:pPr>
              <w:keepNext/>
              <w:keepLines w:val="0"/>
              <w:pageBreakBefore w:val="0"/>
              <w:widowControl/>
              <w:suppressLineNumbers w:val="0"/>
              <w:bidi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单位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F316CA">
            <w:pPr>
              <w:keepNext/>
              <w:keepLines w:val="0"/>
              <w:pageBreakBefore w:val="0"/>
              <w:widowControl/>
              <w:suppressLineNumbers w:val="0"/>
              <w:bidi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数量</w:t>
            </w:r>
          </w:p>
        </w:tc>
      </w:tr>
      <w:tr w14:paraId="18D414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8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824571">
            <w:pPr>
              <w:keepNext/>
              <w:keepLines w:val="0"/>
              <w:pageBreakBefore w:val="0"/>
              <w:widowControl/>
              <w:suppressLineNumbers w:val="0"/>
              <w:bidi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549F13">
            <w:pPr>
              <w:keepNext/>
              <w:keepLines w:val="0"/>
              <w:pageBreakBefore w:val="0"/>
              <w:widowControl/>
              <w:suppressLineNumbers w:val="0"/>
              <w:bidi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护士冬鞋</w:t>
            </w:r>
          </w:p>
        </w:tc>
        <w:tc>
          <w:tcPr>
            <w:tcW w:w="4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top"/>
          </w:tcPr>
          <w:p w14:paraId="60CFE58D">
            <w:pPr>
              <w:keepNext/>
              <w:keepLines w:val="0"/>
              <w:pageBreakBefore w:val="0"/>
              <w:widowControl/>
              <w:suppressLineNumbers w:val="0"/>
              <w:bidi w:val="0"/>
              <w:jc w:val="both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 鞋面</w:t>
            </w:r>
            <w:r>
              <w:rPr>
                <w:rStyle w:val="4"/>
                <w:lang w:val="en-US" w:eastAsia="zh-CN" w:bidi="ar"/>
              </w:rPr>
              <w:br w:type="textWrapping"/>
            </w:r>
            <w:r>
              <w:rPr>
                <w:rStyle w:val="4"/>
                <w:lang w:val="en-US" w:eastAsia="zh-CN" w:bidi="ar"/>
              </w:rPr>
              <w:t>1.1材质：头层牛皮，厚度≥1.6mm，表面致密防风。</w:t>
            </w:r>
            <w:r>
              <w:rPr>
                <w:rStyle w:val="4"/>
                <w:lang w:val="en-US" w:eastAsia="zh-CN" w:bidi="ar"/>
              </w:rPr>
              <w:br w:type="textWrapping"/>
            </w:r>
            <w:r>
              <w:rPr>
                <w:rStyle w:val="4"/>
                <w:lang w:val="en-US" w:eastAsia="zh-CN" w:bidi="ar"/>
              </w:rPr>
              <w:t>1.2性能：耐折≥3万次（-10℃低温测试），无裂面、开胶；防泼水处理，耐医院常用消毒液腐蚀，易清洁。</w:t>
            </w:r>
            <w:r>
              <w:rPr>
                <w:rStyle w:val="4"/>
                <w:lang w:val="en-US" w:eastAsia="zh-CN" w:bidi="ar"/>
              </w:rPr>
              <w:br w:type="textWrapping"/>
            </w:r>
            <w:r>
              <w:rPr>
                <w:rStyle w:val="4"/>
                <w:lang w:val="en-US" w:eastAsia="zh-CN" w:bidi="ar"/>
              </w:rPr>
              <w:t>1.3工艺：车缝采用高强尼龙线，每英寸≥9针，针距均匀；接缝处压胶处理增防水性。</w:t>
            </w:r>
            <w:r>
              <w:rPr>
                <w:rStyle w:val="4"/>
                <w:lang w:val="en-US" w:eastAsia="zh-CN" w:bidi="ar"/>
              </w:rPr>
              <w:br w:type="textWrapping"/>
            </w:r>
            <w:r>
              <w:rPr>
                <w:rStyle w:val="4"/>
                <w:lang w:val="en-US" w:eastAsia="zh-CN" w:bidi="ar"/>
              </w:rPr>
              <w:t>1.4颜色：白色/米白色，哑光质感，符合医疗环境要求。</w:t>
            </w:r>
            <w:r>
              <w:rPr>
                <w:rStyle w:val="4"/>
                <w:lang w:val="en-US" w:eastAsia="zh-CN" w:bidi="ar"/>
              </w:rPr>
              <w:br w:type="textWrapping"/>
            </w:r>
            <w:r>
              <w:rPr>
                <w:rStyle w:val="5"/>
                <w:lang w:val="en-US" w:eastAsia="zh-CN" w:bidi="ar"/>
              </w:rPr>
              <w:t>2. 内里</w:t>
            </w:r>
            <w:r>
              <w:rPr>
                <w:rStyle w:val="4"/>
                <w:lang w:val="en-US" w:eastAsia="zh-CN" w:bidi="ar"/>
              </w:rPr>
              <w:br w:type="textWrapping"/>
            </w:r>
            <w:r>
              <w:rPr>
                <w:rStyle w:val="4"/>
                <w:lang w:val="en-US" w:eastAsia="zh-CN" w:bidi="ar"/>
              </w:rPr>
              <w:t>2.1材质：加厚摇粒绒、千克绒，厚度≥3mm。</w:t>
            </w:r>
            <w:r>
              <w:rPr>
                <w:rStyle w:val="4"/>
                <w:lang w:val="en-US" w:eastAsia="zh-CN" w:bidi="ar"/>
              </w:rPr>
              <w:br w:type="textWrapping"/>
            </w:r>
            <w:r>
              <w:rPr>
                <w:rStyle w:val="4"/>
                <w:lang w:val="en-US" w:eastAsia="zh-CN" w:bidi="ar"/>
              </w:rPr>
              <w:t>2.2性能：蓄热保暖（-5℃环境实测），吸湿排汗，抗菌防臭（抗菌率≥99%），防霉防静电，脚踝处加厚海绵护垫。</w:t>
            </w:r>
            <w:r>
              <w:rPr>
                <w:rStyle w:val="4"/>
                <w:lang w:val="en-US" w:eastAsia="zh-CN" w:bidi="ar"/>
              </w:rPr>
              <w:br w:type="textWrapping"/>
            </w:r>
            <w:r>
              <w:rPr>
                <w:rStyle w:val="5"/>
                <w:lang w:val="en-US" w:eastAsia="zh-CN" w:bidi="ar"/>
              </w:rPr>
              <w:t>3鞋垫</w:t>
            </w:r>
            <w:r>
              <w:rPr>
                <w:rStyle w:val="4"/>
                <w:lang w:val="en-US" w:eastAsia="zh-CN" w:bidi="ar"/>
              </w:rPr>
              <w:br w:type="textWrapping"/>
            </w:r>
            <w:r>
              <w:rPr>
                <w:rStyle w:val="4"/>
                <w:lang w:val="en-US" w:eastAsia="zh-CN" w:bidi="ar"/>
              </w:rPr>
              <w:t>3.1结构：可拆卸保暖鞋垫，表层为抗菌麂皮绒，中层为高回弹记忆棉，底层为铝箔隔热层。</w:t>
            </w:r>
            <w:r>
              <w:rPr>
                <w:rStyle w:val="4"/>
                <w:lang w:val="en-US" w:eastAsia="zh-CN" w:bidi="ar"/>
              </w:rPr>
              <w:br w:type="textWrapping"/>
            </w:r>
            <w:r>
              <w:rPr>
                <w:rStyle w:val="4"/>
                <w:lang w:val="en-US" w:eastAsia="zh-CN" w:bidi="ar"/>
              </w:rPr>
              <w:t>3.2功能：足弓支撑设计，-20℃耐寒测试不变硬，兼具缓震与保温性，可机洗消毒。</w:t>
            </w:r>
            <w:r>
              <w:rPr>
                <w:rStyle w:val="4"/>
                <w:lang w:val="en-US" w:eastAsia="zh-CN" w:bidi="ar"/>
              </w:rPr>
              <w:br w:type="textWrapping"/>
            </w:r>
            <w:r>
              <w:rPr>
                <w:rStyle w:val="5"/>
                <w:lang w:val="en-US" w:eastAsia="zh-CN" w:bidi="ar"/>
              </w:rPr>
              <w:t>4.鞋底</w:t>
            </w:r>
            <w:r>
              <w:rPr>
                <w:rStyle w:val="4"/>
                <w:lang w:val="en-US" w:eastAsia="zh-CN" w:bidi="ar"/>
              </w:rPr>
              <w:br w:type="textWrapping"/>
            </w:r>
            <w:r>
              <w:rPr>
                <w:rStyle w:val="4"/>
                <w:lang w:val="en-US" w:eastAsia="zh-CN" w:bidi="ar"/>
              </w:rPr>
              <w:t>4.1材质：全橡胶冬季防滑大底（邵氏硬度55°±5），内置EVA中底隔热层。</w:t>
            </w:r>
            <w:r>
              <w:rPr>
                <w:rStyle w:val="4"/>
                <w:lang w:val="en-US" w:eastAsia="zh-CN" w:bidi="ar"/>
              </w:rPr>
              <w:br w:type="textWrapping"/>
            </w:r>
            <w:r>
              <w:rPr>
                <w:rStyle w:val="4"/>
                <w:lang w:val="en-US" w:eastAsia="zh-CN" w:bidi="ar"/>
              </w:rPr>
              <w:t>4.2防滑：深齿多向防滑纹（纹深≥3mm），通过油水混合路面防滑测试（摩擦系数≥0.45）。</w:t>
            </w:r>
            <w:r>
              <w:rPr>
                <w:rStyle w:val="4"/>
                <w:lang w:val="en-US" w:eastAsia="zh-CN" w:bidi="ar"/>
              </w:rPr>
              <w:br w:type="textWrapping"/>
            </w:r>
            <w:r>
              <w:rPr>
                <w:rStyle w:val="4"/>
                <w:lang w:val="en-US" w:eastAsia="zh-CN" w:bidi="ar"/>
              </w:rPr>
              <w:t>4.3性能：耐寒-30℃不开裂，后跟嵌入缓震气垫（厚度≥12mm），减震性提升30%，静音设计。</w:t>
            </w:r>
            <w:r>
              <w:rPr>
                <w:rStyle w:val="4"/>
                <w:lang w:val="en-US" w:eastAsia="zh-CN" w:bidi="ar"/>
              </w:rPr>
              <w:br w:type="textWrapping"/>
            </w:r>
            <w:r>
              <w:rPr>
                <w:rStyle w:val="5"/>
                <w:lang w:val="en-US" w:eastAsia="zh-CN" w:bidi="ar"/>
              </w:rPr>
              <w:t>5.保暖系统</w:t>
            </w:r>
            <w:r>
              <w:rPr>
                <w:rStyle w:val="4"/>
                <w:lang w:val="en-US" w:eastAsia="zh-CN" w:bidi="ar"/>
              </w:rPr>
              <w:br w:type="textWrapping"/>
            </w:r>
            <w:r>
              <w:rPr>
                <w:rStyle w:val="4"/>
                <w:lang w:val="en-US" w:eastAsia="zh-CN" w:bidi="ar"/>
              </w:rPr>
              <w:t>5.1鞋口：弹性防风雪高帮设计，侧拉链，内置防风魔术贴，防止冷风灌入。</w:t>
            </w:r>
            <w:r>
              <w:rPr>
                <w:rStyle w:val="4"/>
                <w:lang w:val="en-US" w:eastAsia="zh-CN" w:bidi="ar"/>
              </w:rPr>
              <w:br w:type="textWrapping"/>
            </w:r>
            <w:r>
              <w:rPr>
                <w:rStyle w:val="4"/>
                <w:lang w:val="en-US" w:eastAsia="zh-CN" w:bidi="ar"/>
              </w:rPr>
              <w:t xml:space="preserve">5.2技术：鞋舌一体式结构，减少热量散失； </w:t>
            </w:r>
            <w:r>
              <w:rPr>
                <w:rStyle w:val="4"/>
                <w:lang w:val="en-US" w:eastAsia="zh-CN" w:bidi="ar"/>
              </w:rPr>
              <w:br w:type="textWrapping"/>
            </w:r>
            <w:r>
              <w:rPr>
                <w:rStyle w:val="5"/>
                <w:lang w:val="en-US" w:eastAsia="zh-CN" w:bidi="ar"/>
              </w:rPr>
              <w:t>6.尺码</w:t>
            </w:r>
            <w:r>
              <w:rPr>
                <w:rStyle w:val="4"/>
                <w:lang w:val="en-US" w:eastAsia="zh-CN" w:bidi="ar"/>
              </w:rPr>
              <w:br w:type="textWrapping"/>
            </w:r>
            <w:r>
              <w:rPr>
                <w:rStyle w:val="4"/>
                <w:lang w:val="en-US" w:eastAsia="zh-CN" w:bidi="ar"/>
              </w:rPr>
              <w:t>6.1女码：220mm～270mm（含半码）；男码：235mm～285mm（含半码）。</w:t>
            </w:r>
            <w:r>
              <w:rPr>
                <w:rStyle w:val="4"/>
                <w:lang w:val="en-US" w:eastAsia="zh-CN" w:bidi="ar"/>
              </w:rPr>
              <w:br w:type="textWrapping"/>
            </w:r>
            <w:r>
              <w:rPr>
                <w:rStyle w:val="4"/>
                <w:lang w:val="en-US" w:eastAsia="zh-CN" w:bidi="ar"/>
              </w:rPr>
              <w:t>6.2版型：加宽楦型设计，适配厚袜穿着，提供一型/二型两种宽度选择。</w:t>
            </w:r>
            <w:r>
              <w:rPr>
                <w:rStyle w:val="4"/>
                <w:lang w:val="en-US" w:eastAsia="zh-CN" w:bidi="ar"/>
              </w:rPr>
              <w:br w:type="textWrapping"/>
            </w:r>
            <w:r>
              <w:rPr>
                <w:rStyle w:val="5"/>
                <w:lang w:val="en-US" w:eastAsia="zh-CN" w:bidi="ar"/>
              </w:rPr>
              <w:t>7.粘合剂</w:t>
            </w:r>
            <w:r>
              <w:rPr>
                <w:rStyle w:val="4"/>
                <w:lang w:val="en-US" w:eastAsia="zh-CN" w:bidi="ar"/>
              </w:rPr>
              <w:br w:type="textWrapping"/>
            </w:r>
            <w:r>
              <w:rPr>
                <w:rStyle w:val="4"/>
                <w:lang w:val="en-US" w:eastAsia="zh-CN" w:bidi="ar"/>
              </w:rPr>
              <w:t>7.1采用低温耐寒型树脂胶（符合ISO 9001），-40℃粘合强度≥4.0 N/mm，无毒无苯，固化快。</w:t>
            </w:r>
            <w:r>
              <w:rPr>
                <w:rStyle w:val="4"/>
                <w:lang w:val="en-US" w:eastAsia="zh-CN" w:bidi="ar"/>
              </w:rPr>
              <w:br w:type="textWrapping"/>
            </w:r>
            <w:r>
              <w:rPr>
                <w:rStyle w:val="5"/>
                <w:lang w:val="en-US" w:eastAsia="zh-CN" w:bidi="ar"/>
              </w:rPr>
              <w:t>8.安全标准</w:t>
            </w:r>
            <w:r>
              <w:rPr>
                <w:rStyle w:val="4"/>
                <w:lang w:val="en-US" w:eastAsia="zh-CN" w:bidi="ar"/>
              </w:rPr>
              <w:br w:type="textWrapping"/>
            </w:r>
            <w:r>
              <w:rPr>
                <w:rStyle w:val="4"/>
                <w:lang w:val="en-US" w:eastAsia="zh-CN" w:bidi="ar"/>
              </w:rPr>
              <w:t>8.1符合QB/T 4329-2022《防寒鞋》标准，通过低温弯折、防滑、保温性专项检测。</w:t>
            </w:r>
            <w:r>
              <w:rPr>
                <w:rStyle w:val="4"/>
                <w:lang w:val="en-US" w:eastAsia="zh-CN" w:bidi="ar"/>
              </w:rPr>
              <w:br w:type="textWrapping"/>
            </w:r>
            <w:r>
              <w:rPr>
                <w:rStyle w:val="4"/>
                <w:lang w:val="en-US" w:eastAsia="zh-CN" w:bidi="ar"/>
              </w:rPr>
              <w:t>8.2绝缘电阻≥100MΩ（可选防静电款），适合医疗电气环境。</w:t>
            </w:r>
            <w:r>
              <w:rPr>
                <w:rStyle w:val="4"/>
                <w:lang w:val="en-US" w:eastAsia="zh-CN" w:bidi="ar"/>
              </w:rPr>
              <w:br w:type="textWrapping"/>
            </w:r>
            <w:r>
              <w:rPr>
                <w:rStyle w:val="5"/>
                <w:lang w:val="en-US" w:eastAsia="zh-CN" w:bidi="ar"/>
              </w:rPr>
              <w:t>9.包装</w:t>
            </w:r>
            <w:r>
              <w:rPr>
                <w:rStyle w:val="4"/>
                <w:lang w:val="en-US" w:eastAsia="zh-CN" w:bidi="ar"/>
              </w:rPr>
              <w:br w:type="textWrapping"/>
            </w:r>
            <w:r>
              <w:rPr>
                <w:rStyle w:val="4"/>
                <w:lang w:val="en-US" w:eastAsia="zh-CN" w:bidi="ar"/>
              </w:rPr>
              <w:t>9.1可循环PP材质抽拉式鞋盒，内置防潮纸及保暖保养说明。</w:t>
            </w:r>
          </w:p>
        </w:tc>
        <w:tc>
          <w:tcPr>
            <w:tcW w:w="30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top"/>
          </w:tcPr>
          <w:p w14:paraId="169DDA00">
            <w:pPr>
              <w:keepNext/>
              <w:keepLines w:val="0"/>
              <w:pageBreakBefore w:val="0"/>
              <w:widowControl/>
              <w:suppressLineNumbers w:val="0"/>
              <w:bidi w:val="0"/>
              <w:jc w:val="both"/>
              <w:textAlignment w:val="center"/>
            </w:pPr>
          </w:p>
          <w:p w14:paraId="125CC744">
            <w:pPr>
              <w:keepNext/>
              <w:keepLines w:val="0"/>
              <w:pageBreakBefore w:val="0"/>
              <w:widowControl/>
              <w:suppressLineNumbers w:val="0"/>
              <w:bidi w:val="0"/>
              <w:jc w:val="both"/>
              <w:textAlignment w:val="center"/>
            </w:pPr>
          </w:p>
          <w:p w14:paraId="27FB9C33">
            <w:pPr>
              <w:keepNext/>
              <w:keepLines w:val="0"/>
              <w:pageBreakBefore w:val="0"/>
              <w:widowControl/>
              <w:suppressLineNumbers w:val="0"/>
              <w:bidi w:val="0"/>
              <w:jc w:val="both"/>
              <w:textAlignment w:val="center"/>
            </w:pPr>
          </w:p>
          <w:p w14:paraId="69BF3E0C">
            <w:pPr>
              <w:keepNext/>
              <w:keepLines w:val="0"/>
              <w:pageBreakBefore w:val="0"/>
              <w:widowControl/>
              <w:suppressLineNumbers w:val="0"/>
              <w:bidi w:val="0"/>
              <w:jc w:val="both"/>
              <w:textAlignment w:val="center"/>
            </w:pPr>
          </w:p>
          <w:p w14:paraId="719BA404">
            <w:pPr>
              <w:keepNext/>
              <w:keepLines w:val="0"/>
              <w:pageBreakBefore w:val="0"/>
              <w:widowControl/>
              <w:suppressLineNumbers w:val="0"/>
              <w:bidi w:val="0"/>
              <w:jc w:val="both"/>
              <w:textAlignment w:val="center"/>
            </w:pPr>
          </w:p>
          <w:p w14:paraId="67E40936">
            <w:pPr>
              <w:keepNext/>
              <w:keepLines w:val="0"/>
              <w:pageBreakBefore w:val="0"/>
              <w:widowControl/>
              <w:suppressLineNumbers w:val="0"/>
              <w:bidi w:val="0"/>
              <w:jc w:val="both"/>
              <w:textAlignment w:val="center"/>
            </w:pPr>
          </w:p>
          <w:p w14:paraId="1DA29450">
            <w:pPr>
              <w:keepNext/>
              <w:keepLines w:val="0"/>
              <w:pageBreakBefore w:val="0"/>
              <w:widowControl/>
              <w:suppressLineNumbers w:val="0"/>
              <w:bidi w:val="0"/>
              <w:jc w:val="both"/>
              <w:textAlignment w:val="center"/>
            </w:pPr>
            <w:r>
              <w:drawing>
                <wp:inline distT="0" distB="0" distL="114300" distR="114300">
                  <wp:extent cx="1752600" cy="2441575"/>
                  <wp:effectExtent l="0" t="0" r="0" b="9525"/>
                  <wp:docPr id="2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2600" cy="2441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DFA9855">
            <w:pPr>
              <w:keepNext/>
              <w:keepLines w:val="0"/>
              <w:pageBreakBefore w:val="0"/>
              <w:widowControl/>
              <w:suppressLineNumbers w:val="0"/>
              <w:bidi w:val="0"/>
              <w:jc w:val="both"/>
              <w:textAlignment w:val="center"/>
            </w:pPr>
          </w:p>
          <w:p w14:paraId="74896B0A">
            <w:pPr>
              <w:keepNext/>
              <w:keepLines w:val="0"/>
              <w:pageBreakBefore w:val="0"/>
              <w:widowControl/>
              <w:suppressLineNumbers w:val="0"/>
              <w:bidi w:val="0"/>
              <w:jc w:val="both"/>
              <w:textAlignment w:val="center"/>
            </w:pPr>
          </w:p>
          <w:p w14:paraId="718787E4">
            <w:pPr>
              <w:keepNext/>
              <w:keepLines w:val="0"/>
              <w:pageBreakBefore w:val="0"/>
              <w:widowControl/>
              <w:suppressLineNumbers w:val="0"/>
              <w:bidi w:val="0"/>
              <w:jc w:val="both"/>
              <w:textAlignment w:val="center"/>
            </w:pPr>
          </w:p>
          <w:p w14:paraId="71B0A86B">
            <w:pPr>
              <w:keepNext/>
              <w:keepLines w:val="0"/>
              <w:pageBreakBefore w:val="0"/>
              <w:widowControl/>
              <w:suppressLineNumbers w:val="0"/>
              <w:bidi w:val="0"/>
              <w:jc w:val="both"/>
              <w:textAlignment w:val="center"/>
            </w:pPr>
          </w:p>
          <w:p w14:paraId="0839F90B">
            <w:pPr>
              <w:keepNext/>
              <w:keepLines w:val="0"/>
              <w:pageBreakBefore w:val="0"/>
              <w:widowControl/>
              <w:suppressLineNumbers w:val="0"/>
              <w:bidi w:val="0"/>
              <w:jc w:val="both"/>
              <w:textAlignment w:val="center"/>
            </w:pPr>
          </w:p>
          <w:p w14:paraId="2C9450E8">
            <w:pPr>
              <w:keepNext/>
              <w:keepLines w:val="0"/>
              <w:pageBreakBefore w:val="0"/>
              <w:widowControl/>
              <w:suppressLineNumbers w:val="0"/>
              <w:bidi w:val="0"/>
              <w:jc w:val="both"/>
              <w:textAlignment w:val="center"/>
            </w:pPr>
          </w:p>
          <w:p w14:paraId="45D7EB9D">
            <w:pPr>
              <w:keepNext/>
              <w:keepLines w:val="0"/>
              <w:pageBreakBefore w:val="0"/>
              <w:widowControl/>
              <w:suppressLineNumbers w:val="0"/>
              <w:bidi w:val="0"/>
              <w:jc w:val="both"/>
              <w:textAlignment w:val="center"/>
            </w:pPr>
          </w:p>
          <w:p w14:paraId="09CB0349">
            <w:pPr>
              <w:keepNext/>
              <w:keepLines w:val="0"/>
              <w:pageBreakBefore w:val="0"/>
              <w:widowControl/>
              <w:suppressLineNumbers w:val="0"/>
              <w:bidi w:val="0"/>
              <w:jc w:val="both"/>
              <w:textAlignment w:val="center"/>
            </w:pPr>
          </w:p>
          <w:p w14:paraId="66CD563B">
            <w:pPr>
              <w:keepNext/>
              <w:keepLines w:val="0"/>
              <w:pageBreakBefore w:val="0"/>
              <w:widowControl/>
              <w:suppressLineNumbers w:val="0"/>
              <w:bidi w:val="0"/>
              <w:jc w:val="both"/>
              <w:textAlignment w:val="center"/>
            </w:pPr>
          </w:p>
          <w:p w14:paraId="28642128">
            <w:pPr>
              <w:keepNext/>
              <w:keepLines w:val="0"/>
              <w:pageBreakBefore w:val="0"/>
              <w:widowControl/>
              <w:suppressLineNumbers w:val="0"/>
              <w:bidi w:val="0"/>
              <w:jc w:val="both"/>
              <w:textAlignment w:val="center"/>
            </w:pPr>
          </w:p>
          <w:p w14:paraId="6C529F33">
            <w:pPr>
              <w:keepNext/>
              <w:keepLines w:val="0"/>
              <w:pageBreakBefore w:val="0"/>
              <w:widowControl/>
              <w:suppressLineNumbers w:val="0"/>
              <w:bidi w:val="0"/>
              <w:jc w:val="both"/>
              <w:textAlignment w:val="center"/>
            </w:pPr>
          </w:p>
          <w:p w14:paraId="45736E7C">
            <w:pPr>
              <w:keepNext/>
              <w:keepLines w:val="0"/>
              <w:pageBreakBefore w:val="0"/>
              <w:widowControl/>
              <w:suppressLineNumbers w:val="0"/>
              <w:bidi w:val="0"/>
              <w:jc w:val="both"/>
              <w:textAlignment w:val="center"/>
            </w:pPr>
          </w:p>
          <w:p w14:paraId="4A8049EC">
            <w:pPr>
              <w:keepNext/>
              <w:keepLines w:val="0"/>
              <w:pageBreakBefore w:val="0"/>
              <w:widowControl/>
              <w:suppressLineNumbers w:val="0"/>
              <w:bidi w:val="0"/>
              <w:jc w:val="both"/>
              <w:textAlignment w:val="center"/>
            </w:pPr>
          </w:p>
          <w:p w14:paraId="56E4ACD5">
            <w:pPr>
              <w:keepNext/>
              <w:keepLines w:val="0"/>
              <w:pageBreakBefore w:val="0"/>
              <w:widowControl/>
              <w:suppressLineNumbers w:val="0"/>
              <w:bidi w:val="0"/>
              <w:jc w:val="both"/>
              <w:textAlignment w:val="center"/>
            </w:pPr>
          </w:p>
          <w:p w14:paraId="44157323">
            <w:pPr>
              <w:keepNext/>
              <w:keepLines w:val="0"/>
              <w:pageBreakBefore w:val="0"/>
              <w:widowControl/>
              <w:suppressLineNumbers w:val="0"/>
              <w:bidi w:val="0"/>
              <w:jc w:val="both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drawing>
                <wp:inline distT="0" distB="0" distL="114300" distR="114300">
                  <wp:extent cx="1492250" cy="2000250"/>
                  <wp:effectExtent l="0" t="0" r="6350" b="6350"/>
                  <wp:docPr id="3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2250" cy="2000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4493260</wp:posOffset>
                  </wp:positionH>
                  <wp:positionV relativeFrom="paragraph">
                    <wp:posOffset>5871210</wp:posOffset>
                  </wp:positionV>
                  <wp:extent cx="1597025" cy="2228850"/>
                  <wp:effectExtent l="0" t="0" r="3175" b="6350"/>
                  <wp:wrapNone/>
                  <wp:docPr id="1" name="图片_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_2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7025" cy="2228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9995C8">
            <w:pPr>
              <w:keepNext/>
              <w:keepLines w:val="0"/>
              <w:pageBreakBefore w:val="0"/>
              <w:widowControl/>
              <w:suppressLineNumbers w:val="0"/>
              <w:bidi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双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5EA9C4">
            <w:pPr>
              <w:keepNext/>
              <w:keepLines w:val="0"/>
              <w:pageBreakBefore w:val="0"/>
              <w:widowControl/>
              <w:suppressLineNumbers w:val="0"/>
              <w:bidi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407</w:t>
            </w:r>
          </w:p>
        </w:tc>
      </w:tr>
    </w:tbl>
    <w:p w14:paraId="7A791D21">
      <w:pPr>
        <w:keepNext/>
        <w:keepLines/>
        <w:pageBreakBefore w:val="0"/>
        <w:widowControl w:val="0"/>
        <w:kinsoku/>
        <w:wordWrap w:val="0"/>
        <w:overflowPunct/>
        <w:topLinePunct/>
        <w:autoSpaceDE/>
        <w:autoSpaceDN/>
        <w:bidi w:val="0"/>
        <w:adjustRightInd/>
        <w:snapToGrid/>
        <w:textAlignment w:val="auto"/>
        <w:rPr>
          <w:rFonts w:hint="eastAsia"/>
          <w:b/>
          <w:bCs/>
        </w:rPr>
      </w:pPr>
      <w:r>
        <w:rPr>
          <w:rFonts w:hint="eastAsia"/>
          <w:b/>
          <w:bCs/>
        </w:rPr>
        <w:t>注：①各供应商须提供所投产品皮料执行的具体标准，并附上各类产品执行标准的详细说明；</w:t>
      </w:r>
    </w:p>
    <w:p w14:paraId="64EC858C">
      <w:pPr>
        <w:keepNext/>
        <w:keepLines/>
        <w:pageBreakBefore w:val="0"/>
        <w:widowControl w:val="0"/>
        <w:kinsoku/>
        <w:wordWrap w:val="0"/>
        <w:overflowPunct/>
        <w:topLinePunct/>
        <w:autoSpaceDE/>
        <w:autoSpaceDN/>
        <w:bidi w:val="0"/>
        <w:adjustRightInd w:val="0"/>
        <w:snapToGrid w:val="0"/>
        <w:spacing w:line="360" w:lineRule="auto"/>
        <w:ind w:firstLine="482" w:firstLineChars="200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4"/>
          <w:szCs w:val="20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0"/>
          <w:highlight w:val="none"/>
        </w:rPr>
        <w:t>②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0"/>
          <w:highlight w:val="none"/>
          <w:lang w:val="en-US" w:eastAsia="zh-CN"/>
        </w:rPr>
        <w:t>提供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0"/>
          <w:highlight w:val="none"/>
        </w:rPr>
        <w:t>厂家皮料检验报告。</w:t>
      </w:r>
    </w:p>
    <w:p w14:paraId="417AE957">
      <w:pPr>
        <w:keepNext/>
        <w:keepLines/>
        <w:pageBreakBefore w:val="0"/>
        <w:widowControl w:val="0"/>
        <w:tabs>
          <w:tab w:val="left" w:pos="900"/>
        </w:tabs>
        <w:kinsoku/>
        <w:wordWrap w:val="0"/>
        <w:overflowPunct/>
        <w:topLinePunct/>
        <w:autoSpaceDE/>
        <w:autoSpaceDN/>
        <w:bidi w:val="0"/>
        <w:adjustRightInd w:val="0"/>
        <w:snapToGrid w:val="0"/>
        <w:spacing w:line="460" w:lineRule="exact"/>
        <w:textAlignment w:val="auto"/>
        <w:rPr>
          <w:rFonts w:hint="eastAsia" w:ascii="宋体" w:hAnsi="宋体" w:eastAsia="宋体" w:cs="仿宋"/>
          <w:b/>
          <w:sz w:val="28"/>
          <w:szCs w:val="28"/>
        </w:rPr>
      </w:pPr>
      <w:r>
        <w:rPr>
          <w:rFonts w:hint="eastAsia" w:ascii="宋体" w:hAnsi="宋体" w:eastAsia="宋体" w:cs="仿宋"/>
          <w:b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仿宋"/>
          <w:b/>
          <w:sz w:val="28"/>
          <w:szCs w:val="28"/>
          <w:lang w:val="en-US" w:eastAsia="zh-CN"/>
        </w:rPr>
        <w:t>二</w:t>
      </w:r>
      <w:r>
        <w:rPr>
          <w:rFonts w:hint="eastAsia" w:ascii="宋体" w:hAnsi="宋体" w:eastAsia="宋体" w:cs="仿宋"/>
          <w:b/>
          <w:sz w:val="28"/>
          <w:szCs w:val="28"/>
          <w:lang w:eastAsia="zh-CN"/>
        </w:rPr>
        <w:t>）</w:t>
      </w:r>
      <w:r>
        <w:rPr>
          <w:rFonts w:hint="eastAsia" w:ascii="宋体" w:hAnsi="宋体" w:eastAsia="宋体" w:cs="仿宋"/>
          <w:b/>
          <w:sz w:val="28"/>
          <w:szCs w:val="28"/>
        </w:rPr>
        <w:t>生产制作要求：</w:t>
      </w:r>
    </w:p>
    <w:p w14:paraId="4003B7E8">
      <w:pPr>
        <w:keepNext/>
        <w:keepLines/>
        <w:pageBreakBefore w:val="0"/>
        <w:widowControl w:val="0"/>
        <w:tabs>
          <w:tab w:val="left" w:pos="1890"/>
        </w:tabs>
        <w:kinsoku/>
        <w:wordWrap w:val="0"/>
        <w:overflowPunct/>
        <w:topLinePunct/>
        <w:autoSpaceDE/>
        <w:autoSpaceDN/>
        <w:bidi w:val="0"/>
        <w:spacing w:line="460" w:lineRule="exact"/>
        <w:ind w:firstLine="280" w:firstLineChars="100"/>
        <w:textAlignment w:val="auto"/>
        <w:rPr>
          <w:rFonts w:hint="eastAsia" w:ascii="宋体" w:hAnsi="宋体" w:cs="宋体"/>
          <w:color w:val="auto"/>
          <w:sz w:val="28"/>
          <w:szCs w:val="21"/>
          <w:highlight w:val="none"/>
        </w:rPr>
      </w:pPr>
      <w:r>
        <w:rPr>
          <w:rFonts w:hint="eastAsia" w:ascii="宋体" w:hAnsi="宋体" w:cs="宋体"/>
          <w:color w:val="auto"/>
          <w:sz w:val="28"/>
          <w:szCs w:val="21"/>
          <w:highlight w:val="none"/>
        </w:rPr>
        <w:t>（1）所投产品须为原厂、原装、全新的货物，具有完善的服务，货物的制造和检验符合</w:t>
      </w:r>
      <w:r>
        <w:rPr>
          <w:rFonts w:hint="eastAsia" w:ascii="宋体" w:hAnsi="宋体" w:cs="宋体"/>
          <w:color w:val="auto"/>
          <w:sz w:val="28"/>
          <w:szCs w:val="21"/>
          <w:highlight w:val="none"/>
          <w:lang w:val="en-US" w:eastAsia="zh-CN"/>
        </w:rPr>
        <w:t>询价</w:t>
      </w:r>
      <w:r>
        <w:rPr>
          <w:rFonts w:hint="eastAsia" w:ascii="宋体" w:hAnsi="宋体" w:cs="宋体"/>
          <w:color w:val="auto"/>
          <w:sz w:val="28"/>
          <w:szCs w:val="21"/>
          <w:highlight w:val="none"/>
        </w:rPr>
        <w:t>文件要求的有关质量标准、技术要求和现行的中国国家标准或通用国际标准；</w:t>
      </w:r>
    </w:p>
    <w:p w14:paraId="1C4E81DD">
      <w:pPr>
        <w:keepNext/>
        <w:keepLines/>
        <w:pageBreakBefore w:val="0"/>
        <w:widowControl w:val="0"/>
        <w:tabs>
          <w:tab w:val="left" w:pos="1890"/>
        </w:tabs>
        <w:kinsoku/>
        <w:wordWrap w:val="0"/>
        <w:overflowPunct/>
        <w:topLinePunct/>
        <w:autoSpaceDE/>
        <w:autoSpaceDN/>
        <w:bidi w:val="0"/>
        <w:spacing w:line="460" w:lineRule="exact"/>
        <w:ind w:firstLine="280" w:firstLineChars="100"/>
        <w:textAlignment w:val="auto"/>
        <w:rPr>
          <w:rFonts w:hint="eastAsia" w:ascii="宋体" w:hAnsi="宋体" w:cs="宋体"/>
          <w:color w:val="auto"/>
          <w:sz w:val="28"/>
          <w:szCs w:val="21"/>
          <w:highlight w:val="none"/>
        </w:rPr>
      </w:pPr>
      <w:r>
        <w:rPr>
          <w:rFonts w:hint="eastAsia" w:ascii="宋体" w:hAnsi="宋体" w:cs="宋体"/>
          <w:color w:val="auto"/>
          <w:sz w:val="28"/>
          <w:szCs w:val="21"/>
          <w:highlight w:val="none"/>
        </w:rPr>
        <w:t>（2）本项目不得转包，如有与</w:t>
      </w:r>
      <w:r>
        <w:rPr>
          <w:rFonts w:hint="eastAsia" w:ascii="宋体" w:hAnsi="宋体" w:cs="宋体"/>
          <w:color w:val="auto"/>
          <w:sz w:val="28"/>
          <w:szCs w:val="21"/>
          <w:highlight w:val="none"/>
          <w:lang w:eastAsia="zh-CN"/>
        </w:rPr>
        <w:t>询价文件</w:t>
      </w:r>
      <w:r>
        <w:rPr>
          <w:rFonts w:hint="eastAsia" w:ascii="宋体" w:hAnsi="宋体" w:cs="宋体"/>
          <w:color w:val="auto"/>
          <w:sz w:val="28"/>
          <w:szCs w:val="21"/>
          <w:highlight w:val="none"/>
        </w:rPr>
        <w:t>或成交供应商响应文件不一致的，采购人将向相关部门报告，由此产生的责任与后果均由成交供应商承担；</w:t>
      </w:r>
    </w:p>
    <w:p w14:paraId="15886058">
      <w:pPr>
        <w:keepNext/>
        <w:keepLines/>
        <w:pageBreakBefore w:val="0"/>
        <w:widowControl w:val="0"/>
        <w:kinsoku/>
        <w:wordWrap w:val="0"/>
        <w:overflowPunct/>
        <w:topLinePunct/>
        <w:autoSpaceDE/>
        <w:autoSpaceDN/>
        <w:bidi w:val="0"/>
        <w:spacing w:line="460" w:lineRule="exact"/>
        <w:textAlignment w:val="auto"/>
        <w:rPr>
          <w:rFonts w:hint="eastAsia" w:ascii="宋体" w:hAnsi="宋体" w:cs="宋体"/>
          <w:b/>
          <w:color w:val="auto"/>
          <w:sz w:val="28"/>
          <w:szCs w:val="21"/>
          <w:highlight w:val="none"/>
        </w:rPr>
      </w:pPr>
      <w:r>
        <w:rPr>
          <w:rFonts w:hint="eastAsia" w:ascii="宋体" w:hAnsi="宋体" w:cs="宋体"/>
          <w:b/>
          <w:color w:val="auto"/>
          <w:sz w:val="28"/>
          <w:szCs w:val="21"/>
          <w:highlight w:val="none"/>
          <w:lang w:eastAsia="zh-CN"/>
        </w:rPr>
        <w:t>（三）</w:t>
      </w:r>
      <w:r>
        <w:rPr>
          <w:rFonts w:hint="eastAsia" w:ascii="宋体" w:hAnsi="宋体" w:cs="宋体"/>
          <w:b/>
          <w:color w:val="auto"/>
          <w:sz w:val="28"/>
          <w:szCs w:val="21"/>
          <w:highlight w:val="none"/>
        </w:rPr>
        <w:t>包装及供货要求：</w:t>
      </w:r>
    </w:p>
    <w:p w14:paraId="57C26F1C">
      <w:pPr>
        <w:keepNext/>
        <w:keepLines/>
        <w:pageBreakBefore w:val="0"/>
        <w:widowControl w:val="0"/>
        <w:tabs>
          <w:tab w:val="left" w:pos="1890"/>
        </w:tabs>
        <w:kinsoku/>
        <w:wordWrap w:val="0"/>
        <w:overflowPunct/>
        <w:topLinePunct/>
        <w:autoSpaceDE/>
        <w:autoSpaceDN/>
        <w:bidi w:val="0"/>
        <w:spacing w:line="460" w:lineRule="exact"/>
        <w:ind w:firstLine="280" w:firstLineChars="100"/>
        <w:textAlignment w:val="auto"/>
        <w:rPr>
          <w:rFonts w:hint="eastAsia" w:ascii="宋体" w:hAnsi="宋体" w:cs="宋体"/>
          <w:color w:val="auto"/>
          <w:sz w:val="28"/>
          <w:szCs w:val="21"/>
          <w:highlight w:val="none"/>
        </w:rPr>
      </w:pPr>
      <w:r>
        <w:rPr>
          <w:rFonts w:hint="eastAsia" w:ascii="宋体" w:hAnsi="宋体" w:cs="宋体"/>
          <w:color w:val="auto"/>
          <w:sz w:val="28"/>
          <w:szCs w:val="21"/>
          <w:highlight w:val="none"/>
        </w:rPr>
        <w:t>（1）货物的包装必须与运输方式相适应，包装费用均由成交供应商承担，由于不适当的包装而造成货物在运输过程中有任何损坏、丢失由成交供应商承担；</w:t>
      </w:r>
    </w:p>
    <w:p w14:paraId="5DA6F5E0">
      <w:pPr>
        <w:keepNext/>
        <w:keepLines/>
        <w:pageBreakBefore w:val="0"/>
        <w:widowControl w:val="0"/>
        <w:tabs>
          <w:tab w:val="left" w:pos="1890"/>
        </w:tabs>
        <w:kinsoku/>
        <w:wordWrap w:val="0"/>
        <w:overflowPunct/>
        <w:topLinePunct/>
        <w:autoSpaceDE/>
        <w:autoSpaceDN/>
        <w:bidi w:val="0"/>
        <w:spacing w:line="460" w:lineRule="exact"/>
        <w:ind w:firstLine="280" w:firstLineChars="100"/>
        <w:textAlignment w:val="auto"/>
        <w:rPr>
          <w:rFonts w:hint="eastAsia" w:ascii="宋体" w:hAnsi="宋体" w:cs="宋体"/>
          <w:color w:val="auto"/>
          <w:sz w:val="28"/>
          <w:szCs w:val="21"/>
          <w:highlight w:val="none"/>
        </w:rPr>
      </w:pPr>
      <w:r>
        <w:rPr>
          <w:rFonts w:hint="eastAsia" w:ascii="宋体" w:hAnsi="宋体" w:cs="宋体"/>
          <w:color w:val="auto"/>
          <w:sz w:val="28"/>
          <w:szCs w:val="21"/>
          <w:highlight w:val="none"/>
        </w:rPr>
        <w:t>（2）货物外包装统一使用纸箱包装送至采购人指定地点。包装应足以承受在运输、转运、装卸、储存等整个过程，充分考虑到运输途中的各种情况（如暴露于恶劣气候等）；</w:t>
      </w:r>
    </w:p>
    <w:p w14:paraId="0BA9A9F2">
      <w:pPr>
        <w:keepNext/>
        <w:keepLines/>
        <w:pageBreakBefore w:val="0"/>
        <w:widowControl w:val="0"/>
        <w:tabs>
          <w:tab w:val="left" w:pos="1890"/>
        </w:tabs>
        <w:kinsoku/>
        <w:wordWrap w:val="0"/>
        <w:overflowPunct/>
        <w:topLinePunct/>
        <w:autoSpaceDE/>
        <w:autoSpaceDN/>
        <w:bidi w:val="0"/>
        <w:spacing w:line="460" w:lineRule="exact"/>
        <w:ind w:firstLine="280" w:firstLineChars="100"/>
        <w:textAlignment w:val="auto"/>
        <w:rPr>
          <w:rFonts w:hint="eastAsia" w:ascii="宋体" w:hAnsi="宋体" w:cs="宋体"/>
          <w:color w:val="auto"/>
          <w:sz w:val="28"/>
          <w:szCs w:val="21"/>
          <w:highlight w:val="none"/>
        </w:rPr>
      </w:pPr>
      <w:r>
        <w:rPr>
          <w:rFonts w:hint="eastAsia" w:ascii="宋体" w:hAnsi="宋体" w:cs="宋体"/>
          <w:color w:val="auto"/>
          <w:sz w:val="28"/>
          <w:szCs w:val="21"/>
          <w:highlight w:val="none"/>
        </w:rPr>
        <w:t>（3）所有护士鞋按双单独包装，包装整洁无破损；</w:t>
      </w:r>
    </w:p>
    <w:p w14:paraId="3D5E4686">
      <w:pPr>
        <w:keepNext/>
        <w:keepLines/>
        <w:pageBreakBefore w:val="0"/>
        <w:widowControl w:val="0"/>
        <w:tabs>
          <w:tab w:val="left" w:pos="1890"/>
        </w:tabs>
        <w:kinsoku/>
        <w:wordWrap w:val="0"/>
        <w:overflowPunct/>
        <w:topLinePunct/>
        <w:autoSpaceDE/>
        <w:autoSpaceDN/>
        <w:bidi w:val="0"/>
        <w:spacing w:line="460" w:lineRule="exact"/>
        <w:ind w:firstLine="280" w:firstLineChars="100"/>
        <w:textAlignment w:val="auto"/>
        <w:rPr>
          <w:rFonts w:hint="eastAsia" w:ascii="宋体" w:hAnsi="宋体" w:cs="宋体"/>
          <w:color w:val="auto"/>
          <w:sz w:val="28"/>
          <w:szCs w:val="21"/>
          <w:highlight w:val="none"/>
        </w:rPr>
      </w:pPr>
      <w:r>
        <w:rPr>
          <w:rFonts w:hint="eastAsia" w:ascii="宋体" w:hAnsi="宋体" w:cs="宋体"/>
          <w:color w:val="auto"/>
          <w:sz w:val="28"/>
          <w:szCs w:val="21"/>
          <w:highlight w:val="none"/>
        </w:rPr>
        <w:t>（4）成交供应商须按</w:t>
      </w:r>
      <w:r>
        <w:rPr>
          <w:rFonts w:hint="eastAsia" w:ascii="宋体" w:hAnsi="宋体" w:cs="宋体"/>
          <w:color w:val="auto"/>
          <w:sz w:val="28"/>
          <w:szCs w:val="21"/>
          <w:highlight w:val="none"/>
          <w:lang w:eastAsia="zh-CN"/>
        </w:rPr>
        <w:t>询价文件</w:t>
      </w:r>
      <w:r>
        <w:rPr>
          <w:rFonts w:hint="eastAsia" w:ascii="宋体" w:hAnsi="宋体" w:cs="宋体"/>
          <w:color w:val="auto"/>
          <w:sz w:val="28"/>
          <w:szCs w:val="21"/>
          <w:highlight w:val="none"/>
        </w:rPr>
        <w:t>要求的时间、地点配送货物，所供产品须完全符合</w:t>
      </w:r>
      <w:r>
        <w:rPr>
          <w:rFonts w:hint="eastAsia" w:ascii="宋体" w:hAnsi="宋体" w:cs="宋体"/>
          <w:color w:val="auto"/>
          <w:sz w:val="28"/>
          <w:szCs w:val="21"/>
          <w:highlight w:val="none"/>
          <w:lang w:eastAsia="zh-CN"/>
        </w:rPr>
        <w:t>询价文件</w:t>
      </w:r>
      <w:r>
        <w:rPr>
          <w:rFonts w:hint="eastAsia" w:ascii="宋体" w:hAnsi="宋体" w:cs="宋体"/>
          <w:color w:val="auto"/>
          <w:sz w:val="28"/>
          <w:szCs w:val="21"/>
          <w:highlight w:val="none"/>
        </w:rPr>
        <w:t>要求，否则采购人有权拒绝收货，由此造成的一切责任与后果均由成交供应商承担。</w:t>
      </w:r>
    </w:p>
    <w:p w14:paraId="0994FD4D">
      <w:pPr>
        <w:keepNext/>
        <w:keepLines/>
        <w:pageBreakBefore w:val="0"/>
        <w:widowControl w:val="0"/>
        <w:tabs>
          <w:tab w:val="left" w:pos="1890"/>
        </w:tabs>
        <w:kinsoku/>
        <w:wordWrap w:val="0"/>
        <w:overflowPunct/>
        <w:topLinePunct/>
        <w:autoSpaceDE/>
        <w:autoSpaceDN/>
        <w:bidi w:val="0"/>
        <w:spacing w:line="460" w:lineRule="exact"/>
        <w:ind w:firstLine="280" w:firstLineChars="100"/>
        <w:textAlignment w:val="auto"/>
        <w:rPr>
          <w:rFonts w:hint="eastAsia" w:ascii="宋体" w:hAnsi="宋体" w:cs="宋体"/>
          <w:color w:val="auto"/>
          <w:sz w:val="28"/>
          <w:szCs w:val="21"/>
          <w:highlight w:val="none"/>
        </w:rPr>
      </w:pPr>
      <w:r>
        <w:rPr>
          <w:rFonts w:hint="eastAsia" w:ascii="宋体" w:hAnsi="宋体" w:cs="宋体"/>
          <w:color w:val="auto"/>
          <w:sz w:val="28"/>
          <w:szCs w:val="21"/>
          <w:highlight w:val="none"/>
        </w:rPr>
        <w:t>（5）供货时须供应商到现场，配合发货。</w:t>
      </w:r>
    </w:p>
    <w:p w14:paraId="609497FF">
      <w:pPr>
        <w:keepNext/>
        <w:keepLines/>
        <w:pageBreakBefore w:val="0"/>
        <w:widowControl w:val="0"/>
        <w:tabs>
          <w:tab w:val="left" w:pos="1890"/>
        </w:tabs>
        <w:kinsoku/>
        <w:wordWrap w:val="0"/>
        <w:overflowPunct/>
        <w:topLinePunct/>
        <w:autoSpaceDE/>
        <w:autoSpaceDN/>
        <w:bidi w:val="0"/>
        <w:spacing w:line="460" w:lineRule="exact"/>
        <w:textAlignment w:val="auto"/>
        <w:rPr>
          <w:rFonts w:hint="eastAsia" w:ascii="宋体" w:hAnsi="宋体" w:cs="宋体"/>
          <w:b/>
          <w:color w:val="auto"/>
          <w:sz w:val="28"/>
          <w:szCs w:val="21"/>
          <w:highlight w:val="none"/>
        </w:rPr>
      </w:pPr>
      <w:r>
        <w:rPr>
          <w:rFonts w:hint="eastAsia" w:ascii="宋体" w:hAnsi="宋体" w:cs="宋体"/>
          <w:b/>
          <w:color w:val="auto"/>
          <w:sz w:val="28"/>
          <w:szCs w:val="21"/>
          <w:highlight w:val="none"/>
          <w:lang w:eastAsia="zh-CN"/>
        </w:rPr>
        <w:t>（四）</w:t>
      </w:r>
      <w:r>
        <w:rPr>
          <w:rFonts w:hint="eastAsia" w:ascii="宋体" w:hAnsi="宋体" w:cs="宋体"/>
          <w:b/>
          <w:color w:val="auto"/>
          <w:sz w:val="28"/>
          <w:szCs w:val="21"/>
          <w:highlight w:val="none"/>
        </w:rPr>
        <w:t>验收标准及方法：</w:t>
      </w:r>
    </w:p>
    <w:p w14:paraId="1289E8D7">
      <w:pPr>
        <w:keepNext/>
        <w:keepLines/>
        <w:pageBreakBefore w:val="0"/>
        <w:widowControl w:val="0"/>
        <w:tabs>
          <w:tab w:val="left" w:pos="1890"/>
        </w:tabs>
        <w:kinsoku/>
        <w:wordWrap w:val="0"/>
        <w:overflowPunct/>
        <w:topLinePunct/>
        <w:autoSpaceDE/>
        <w:autoSpaceDN/>
        <w:bidi w:val="0"/>
        <w:spacing w:line="460" w:lineRule="exact"/>
        <w:ind w:firstLine="280" w:firstLineChars="100"/>
        <w:textAlignment w:val="auto"/>
        <w:rPr>
          <w:rFonts w:hint="eastAsia" w:ascii="宋体" w:hAnsi="宋体" w:cs="宋体"/>
          <w:color w:val="auto"/>
          <w:sz w:val="28"/>
          <w:szCs w:val="21"/>
          <w:highlight w:val="none"/>
        </w:rPr>
      </w:pPr>
      <w:r>
        <w:rPr>
          <w:rFonts w:hint="eastAsia" w:ascii="宋体" w:hAnsi="宋体" w:cs="宋体"/>
          <w:color w:val="auto"/>
          <w:sz w:val="28"/>
          <w:szCs w:val="21"/>
          <w:highlight w:val="none"/>
        </w:rPr>
        <w:t>（1）交付验收标准：依次序对照适用标准为：</w:t>
      </w:r>
    </w:p>
    <w:p w14:paraId="596A39A3">
      <w:pPr>
        <w:keepNext/>
        <w:keepLines/>
        <w:pageBreakBefore w:val="0"/>
        <w:widowControl w:val="0"/>
        <w:tabs>
          <w:tab w:val="left" w:pos="1890"/>
        </w:tabs>
        <w:kinsoku/>
        <w:wordWrap w:val="0"/>
        <w:overflowPunct/>
        <w:topLinePunct/>
        <w:autoSpaceDE/>
        <w:autoSpaceDN/>
        <w:bidi w:val="0"/>
        <w:spacing w:line="460" w:lineRule="exact"/>
        <w:ind w:firstLine="560" w:firstLineChars="200"/>
        <w:textAlignment w:val="auto"/>
        <w:rPr>
          <w:rFonts w:hint="eastAsia" w:ascii="宋体" w:hAnsi="宋体" w:cs="宋体"/>
          <w:color w:val="auto"/>
          <w:sz w:val="28"/>
          <w:szCs w:val="21"/>
          <w:highlight w:val="none"/>
        </w:rPr>
      </w:pPr>
      <w:r>
        <w:rPr>
          <w:rFonts w:hint="eastAsia" w:ascii="宋体" w:hAnsi="宋体" w:cs="宋体"/>
          <w:color w:val="auto"/>
          <w:sz w:val="28"/>
          <w:szCs w:val="21"/>
          <w:highlight w:val="none"/>
        </w:rPr>
        <w:t>①符合中华人民共和国国家安全质量标准、环保标准或行业标准；</w:t>
      </w:r>
    </w:p>
    <w:p w14:paraId="15A67CB6">
      <w:pPr>
        <w:keepNext/>
        <w:keepLines/>
        <w:pageBreakBefore w:val="0"/>
        <w:widowControl w:val="0"/>
        <w:kinsoku/>
        <w:wordWrap w:val="0"/>
        <w:overflowPunct/>
        <w:topLinePunct/>
        <w:autoSpaceDE/>
        <w:autoSpaceDN/>
        <w:bidi w:val="0"/>
        <w:spacing w:line="460" w:lineRule="exact"/>
        <w:ind w:firstLine="560" w:firstLineChars="200"/>
        <w:textAlignment w:val="auto"/>
        <w:rPr>
          <w:rFonts w:hint="eastAsia" w:ascii="宋体" w:hAnsi="宋体" w:cs="宋体"/>
          <w:color w:val="auto"/>
          <w:sz w:val="28"/>
          <w:szCs w:val="21"/>
          <w:highlight w:val="none"/>
        </w:rPr>
      </w:pPr>
      <w:r>
        <w:rPr>
          <w:rFonts w:hint="eastAsia" w:ascii="宋体" w:hAnsi="宋体" w:cs="宋体"/>
          <w:color w:val="auto"/>
          <w:sz w:val="28"/>
          <w:szCs w:val="21"/>
          <w:highlight w:val="none"/>
        </w:rPr>
        <w:t>②产品质量符合国家质量标准(GB/T3903-2008) ；</w:t>
      </w:r>
    </w:p>
    <w:p w14:paraId="388B1612">
      <w:pPr>
        <w:keepNext/>
        <w:keepLines/>
        <w:pageBreakBefore w:val="0"/>
        <w:widowControl w:val="0"/>
        <w:tabs>
          <w:tab w:val="left" w:pos="1890"/>
        </w:tabs>
        <w:kinsoku/>
        <w:wordWrap w:val="0"/>
        <w:overflowPunct/>
        <w:topLinePunct/>
        <w:autoSpaceDE/>
        <w:autoSpaceDN/>
        <w:bidi w:val="0"/>
        <w:spacing w:line="460" w:lineRule="exact"/>
        <w:ind w:firstLine="560" w:firstLineChars="200"/>
        <w:textAlignment w:val="auto"/>
        <w:rPr>
          <w:rFonts w:hint="eastAsia" w:ascii="宋体" w:hAnsi="宋体" w:cs="宋体"/>
          <w:color w:val="auto"/>
          <w:sz w:val="28"/>
          <w:szCs w:val="21"/>
          <w:highlight w:val="none"/>
        </w:rPr>
      </w:pPr>
      <w:r>
        <w:rPr>
          <w:rFonts w:hint="eastAsia" w:ascii="宋体" w:hAnsi="宋体" w:cs="宋体"/>
          <w:color w:val="auto"/>
          <w:sz w:val="28"/>
          <w:szCs w:val="21"/>
          <w:highlight w:val="none"/>
        </w:rPr>
        <w:t>③符合</w:t>
      </w:r>
      <w:r>
        <w:rPr>
          <w:rFonts w:hint="eastAsia" w:ascii="宋体" w:hAnsi="宋体" w:cs="宋体"/>
          <w:color w:val="auto"/>
          <w:sz w:val="28"/>
          <w:szCs w:val="21"/>
          <w:highlight w:val="none"/>
          <w:lang w:eastAsia="zh-CN"/>
        </w:rPr>
        <w:t>询价文件</w:t>
      </w:r>
      <w:r>
        <w:rPr>
          <w:rFonts w:hint="eastAsia" w:ascii="宋体" w:hAnsi="宋体" w:cs="宋体"/>
          <w:color w:val="auto"/>
          <w:sz w:val="28"/>
          <w:szCs w:val="21"/>
          <w:highlight w:val="none"/>
        </w:rPr>
        <w:t>规定的规格、参数、样品等各项要求；</w:t>
      </w:r>
    </w:p>
    <w:p w14:paraId="0BB2A729">
      <w:pPr>
        <w:keepNext/>
        <w:keepLines/>
        <w:pageBreakBefore w:val="0"/>
        <w:widowControl w:val="0"/>
        <w:tabs>
          <w:tab w:val="left" w:pos="1890"/>
        </w:tabs>
        <w:kinsoku/>
        <w:wordWrap w:val="0"/>
        <w:overflowPunct/>
        <w:topLinePunct/>
        <w:autoSpaceDE/>
        <w:autoSpaceDN/>
        <w:bidi w:val="0"/>
        <w:spacing w:line="460" w:lineRule="exact"/>
        <w:ind w:firstLine="560" w:firstLineChars="200"/>
        <w:textAlignment w:val="auto"/>
        <w:rPr>
          <w:rFonts w:hint="eastAsia" w:ascii="宋体" w:hAnsi="宋体" w:cs="宋体"/>
          <w:color w:val="auto"/>
          <w:sz w:val="28"/>
          <w:szCs w:val="21"/>
          <w:highlight w:val="none"/>
        </w:rPr>
      </w:pPr>
      <w:r>
        <w:rPr>
          <w:rFonts w:hint="eastAsia" w:ascii="宋体" w:hAnsi="宋体" w:cs="宋体"/>
          <w:color w:val="auto"/>
          <w:sz w:val="28"/>
          <w:szCs w:val="21"/>
          <w:highlight w:val="none"/>
        </w:rPr>
        <w:t>④上述标准必须是有关官方机构发布的最新版本的标准。</w:t>
      </w:r>
    </w:p>
    <w:p w14:paraId="3B420CA7">
      <w:pPr>
        <w:keepNext/>
        <w:keepLines/>
        <w:pageBreakBefore w:val="0"/>
        <w:widowControl w:val="0"/>
        <w:tabs>
          <w:tab w:val="left" w:pos="1890"/>
        </w:tabs>
        <w:kinsoku/>
        <w:wordWrap w:val="0"/>
        <w:overflowPunct/>
        <w:topLinePunct/>
        <w:autoSpaceDE/>
        <w:autoSpaceDN/>
        <w:bidi w:val="0"/>
        <w:spacing w:line="460" w:lineRule="exact"/>
        <w:ind w:firstLine="280" w:firstLineChars="100"/>
        <w:textAlignment w:val="auto"/>
        <w:rPr>
          <w:rFonts w:hint="eastAsia" w:ascii="宋体" w:hAnsi="宋体" w:cs="宋体"/>
          <w:color w:val="auto"/>
          <w:sz w:val="28"/>
          <w:szCs w:val="21"/>
          <w:highlight w:val="none"/>
        </w:rPr>
      </w:pPr>
      <w:r>
        <w:rPr>
          <w:rFonts w:hint="eastAsia" w:ascii="宋体" w:hAnsi="宋体" w:cs="宋体"/>
          <w:color w:val="auto"/>
          <w:sz w:val="28"/>
          <w:szCs w:val="21"/>
          <w:highlight w:val="none"/>
        </w:rPr>
        <w:t>（2）所有货物在开箱检验时必须完好，无破损，配置与装箱单相符。</w:t>
      </w:r>
    </w:p>
    <w:p w14:paraId="5B203C41">
      <w:pPr>
        <w:keepNext/>
        <w:keepLines/>
        <w:pageBreakBefore w:val="0"/>
        <w:widowControl w:val="0"/>
        <w:tabs>
          <w:tab w:val="left" w:pos="1890"/>
        </w:tabs>
        <w:kinsoku/>
        <w:wordWrap w:val="0"/>
        <w:overflowPunct/>
        <w:topLinePunct/>
        <w:autoSpaceDE/>
        <w:autoSpaceDN/>
        <w:bidi w:val="0"/>
        <w:spacing w:line="460" w:lineRule="exact"/>
        <w:ind w:firstLine="280" w:firstLineChars="100"/>
        <w:textAlignment w:val="auto"/>
        <w:rPr>
          <w:rFonts w:hint="eastAsia" w:ascii="宋体" w:hAnsi="宋体" w:cs="宋体"/>
          <w:color w:val="auto"/>
          <w:sz w:val="28"/>
          <w:szCs w:val="21"/>
          <w:highlight w:val="none"/>
        </w:rPr>
      </w:pPr>
      <w:r>
        <w:rPr>
          <w:rFonts w:hint="eastAsia" w:ascii="宋体" w:hAnsi="宋体" w:cs="宋体"/>
          <w:color w:val="auto"/>
          <w:sz w:val="28"/>
          <w:szCs w:val="21"/>
          <w:highlight w:val="none"/>
        </w:rPr>
        <w:t>（3）验收应在中标人及采购人双方共同参加下进行。中标人不得有调换产品，减低产品等级标准或提供存在质量缺陷产品，以劣充优，以假充真，串通、贿赂或其他严重违法、违规、违约行为。</w:t>
      </w:r>
    </w:p>
    <w:p w14:paraId="5CAEBFC4">
      <w:pPr>
        <w:keepNext/>
        <w:keepLines/>
        <w:pageBreakBefore w:val="0"/>
        <w:widowControl w:val="0"/>
        <w:tabs>
          <w:tab w:val="left" w:pos="1890"/>
        </w:tabs>
        <w:kinsoku/>
        <w:wordWrap w:val="0"/>
        <w:overflowPunct/>
        <w:topLinePunct/>
        <w:autoSpaceDE/>
        <w:autoSpaceDN/>
        <w:bidi w:val="0"/>
        <w:spacing w:line="460" w:lineRule="exact"/>
        <w:ind w:firstLine="280" w:firstLineChars="100"/>
        <w:textAlignment w:val="auto"/>
        <w:rPr>
          <w:rFonts w:hint="eastAsia" w:ascii="宋体" w:hAnsi="宋体" w:cs="宋体"/>
          <w:color w:val="auto"/>
          <w:sz w:val="28"/>
          <w:szCs w:val="21"/>
          <w:highlight w:val="none"/>
        </w:rPr>
      </w:pPr>
      <w:r>
        <w:rPr>
          <w:rFonts w:hint="eastAsia" w:ascii="宋体" w:hAnsi="宋体" w:cs="宋体"/>
          <w:color w:val="auto"/>
          <w:sz w:val="28"/>
          <w:szCs w:val="21"/>
          <w:highlight w:val="none"/>
        </w:rPr>
        <w:t>（4）成交供应商合同签订</w:t>
      </w:r>
      <w:r>
        <w:rPr>
          <w:rFonts w:hint="eastAsia" w:ascii="宋体" w:hAnsi="宋体" w:cs="宋体"/>
          <w:color w:val="auto"/>
          <w:sz w:val="28"/>
          <w:szCs w:val="21"/>
          <w:highlight w:val="none"/>
          <w:lang w:val="en-US" w:eastAsia="zh-CN"/>
        </w:rPr>
        <w:t>前</w:t>
      </w:r>
      <w:r>
        <w:rPr>
          <w:rFonts w:hint="eastAsia" w:ascii="宋体" w:hAnsi="宋体" w:cs="宋体"/>
          <w:color w:val="auto"/>
          <w:sz w:val="28"/>
          <w:szCs w:val="21"/>
          <w:highlight w:val="none"/>
        </w:rPr>
        <w:t>须制作本项目采购的护士鞋一双，经采购人确认符合</w:t>
      </w:r>
      <w:r>
        <w:rPr>
          <w:rFonts w:hint="eastAsia" w:ascii="宋体" w:hAnsi="宋体" w:cs="宋体"/>
          <w:color w:val="auto"/>
          <w:sz w:val="28"/>
          <w:szCs w:val="21"/>
          <w:highlight w:val="none"/>
          <w:lang w:eastAsia="zh-CN"/>
        </w:rPr>
        <w:t>询价文件</w:t>
      </w:r>
      <w:r>
        <w:rPr>
          <w:rFonts w:hint="eastAsia" w:ascii="宋体" w:hAnsi="宋体" w:cs="宋体"/>
          <w:color w:val="auto"/>
          <w:sz w:val="28"/>
          <w:szCs w:val="21"/>
          <w:highlight w:val="none"/>
        </w:rPr>
        <w:t>要求，成交供应商方可进行批量生产。不符合</w:t>
      </w:r>
      <w:r>
        <w:rPr>
          <w:rFonts w:hint="eastAsia" w:ascii="宋体" w:hAnsi="宋体" w:cs="宋体"/>
          <w:color w:val="auto"/>
          <w:sz w:val="28"/>
          <w:szCs w:val="21"/>
          <w:highlight w:val="none"/>
          <w:lang w:eastAsia="zh-CN"/>
        </w:rPr>
        <w:t>询价文件</w:t>
      </w:r>
      <w:r>
        <w:rPr>
          <w:rFonts w:hint="eastAsia" w:ascii="宋体" w:hAnsi="宋体" w:cs="宋体"/>
          <w:color w:val="auto"/>
          <w:sz w:val="28"/>
          <w:szCs w:val="21"/>
          <w:highlight w:val="none"/>
        </w:rPr>
        <w:t>要求的，采购人有权向相关管理部门报告，由此造成的责任与后果均由成交供应商承担。</w:t>
      </w:r>
    </w:p>
    <w:p w14:paraId="722CD574">
      <w:pPr>
        <w:keepNext/>
        <w:keepLines/>
        <w:pageBreakBefore w:val="0"/>
        <w:widowControl w:val="0"/>
        <w:kinsoku/>
        <w:wordWrap w:val="0"/>
        <w:overflowPunct/>
        <w:topLinePunct/>
        <w:autoSpaceDE/>
        <w:autoSpaceDN/>
        <w:bidi w:val="0"/>
        <w:textAlignment w:val="auto"/>
        <w:rPr>
          <w:rFonts w:hint="eastAsia"/>
          <w:lang w:val="en-US" w:eastAsia="zh-CN"/>
        </w:rPr>
      </w:pPr>
      <w:bookmarkStart w:id="0" w:name="_GoBack"/>
      <w:bookmarkEnd w:id="0"/>
    </w:p>
    <w:sectPr>
      <w:pgSz w:w="11906" w:h="16838"/>
      <w:pgMar w:top="1440" w:right="1644" w:bottom="1134" w:left="164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隶书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revisionView w:markup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DD405FA"/>
    <w:rsid w:val="233D0598"/>
    <w:rsid w:val="2CFB12A7"/>
    <w:rsid w:val="4CA250CE"/>
    <w:rsid w:val="67254250"/>
    <w:rsid w:val="7620613A"/>
    <w:rsid w:val="79AD6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31"/>
    <w:basedOn w:val="3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5">
    <w:name w:val="font21"/>
    <w:basedOn w:val="3"/>
    <w:uiPriority w:val="0"/>
    <w:rPr>
      <w:rFonts w:hint="eastAsia" w:ascii="宋体" w:hAnsi="宋体" w:eastAsia="宋体" w:cs="宋体"/>
      <w:b/>
      <w:bCs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2025-11-12T01:03:38Z</dcterms:created>
  <dc:creator>admin</dc:creator>
  <cp:lastModifiedBy>夏未凉</cp:lastModifiedBy>
  <dcterms:modified xsi:type="dcterms:W3CDTF">2025-11-12T01:23:57Z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KSOTemplateDocerSaveRecord">
    <vt:lpwstr>eyJoZGlkIjoiNDlhNDFmYmYwNmZjOTZkNGIyZGI1ZWY1YWVlNDg2MjciLCJ1c2VySWQiOiI0NDQ1MjU3MTgifQ==</vt:lpwstr>
  </property>
  <property fmtid="{D5CDD505-2E9C-101B-9397-08002B2CF9AE}" pid="4" name="ICV">
    <vt:lpwstr>9138FB4C970C4FC8A2803C4028A0B349_12</vt:lpwstr>
  </property>
</Properties>
</file>