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98226">
      <w:pPr>
        <w:ind w:left="3784" w:leftChars="0" w:hanging="3784" w:hangingChars="1000"/>
        <w:rPr>
          <w:rFonts w:hint="eastAsia" w:ascii="华文中宋" w:hAnsi="华文中宋" w:eastAsia="华文中宋"/>
          <w:b/>
          <w:sz w:val="40"/>
          <w:szCs w:val="40"/>
          <w:lang w:eastAsia="zh-CN"/>
        </w:rPr>
      </w:pPr>
      <w:r>
        <w:rPr>
          <w:rFonts w:hint="eastAsia" w:ascii="华文中宋" w:hAnsi="华文中宋" w:eastAsia="华文中宋"/>
          <w:b/>
          <w:spacing w:val="-11"/>
          <w:sz w:val="40"/>
          <w:szCs w:val="40"/>
        </w:rPr>
        <w:t>枞阳县人民医院柴油发电机组水箱散热器采购项目</w:t>
      </w:r>
      <w:r>
        <w:rPr>
          <w:rFonts w:hint="eastAsia" w:ascii="华文中宋" w:hAnsi="华文中宋" w:eastAsia="华文中宋"/>
          <w:b/>
          <w:spacing w:val="-6"/>
          <w:sz w:val="40"/>
          <w:szCs w:val="40"/>
          <w:lang w:val="en-US" w:eastAsia="zh-CN"/>
        </w:rPr>
        <w:t xml:space="preserve"> </w:t>
      </w:r>
      <w:r>
        <w:rPr>
          <w:rFonts w:hint="eastAsia" w:ascii="华文中宋" w:hAnsi="华文中宋" w:eastAsia="华文中宋"/>
          <w:b/>
          <w:sz w:val="40"/>
          <w:szCs w:val="40"/>
          <w:lang w:val="en-US" w:eastAsia="zh-CN"/>
        </w:rPr>
        <w:t xml:space="preserve">    采购需求</w:t>
      </w:r>
    </w:p>
    <w:p w14:paraId="6F6B43E3">
      <w:pPr>
        <w:pageBreakBefore w:val="0"/>
        <w:tabs>
          <w:tab w:val="left" w:pos="900"/>
        </w:tabs>
        <w:kinsoku/>
        <w:overflowPunct/>
        <w:bidi w:val="0"/>
        <w:adjustRightInd w:val="0"/>
        <w:snapToGrid w:val="0"/>
        <w:spacing w:line="480" w:lineRule="exact"/>
        <w:rPr>
          <w:rFonts w:hint="eastAsia" w:ascii="宋体" w:hAnsi="宋体" w:cs="仿宋"/>
          <w:b/>
          <w:sz w:val="28"/>
          <w:szCs w:val="28"/>
          <w:highlight w:val="none"/>
        </w:rPr>
      </w:pPr>
      <w:r>
        <w:rPr>
          <w:rFonts w:hint="eastAsia" w:ascii="宋体" w:hAnsi="宋体" w:cs="仿宋"/>
          <w:b/>
          <w:sz w:val="28"/>
          <w:szCs w:val="28"/>
          <w:highlight w:val="none"/>
          <w:lang w:val="en-US" w:eastAsia="zh-CN"/>
        </w:rPr>
        <w:t>一、</w:t>
      </w:r>
      <w:r>
        <w:rPr>
          <w:rFonts w:hint="eastAsia" w:ascii="宋体" w:hAnsi="宋体" w:cs="仿宋"/>
          <w:b/>
          <w:sz w:val="28"/>
          <w:szCs w:val="28"/>
          <w:highlight w:val="none"/>
        </w:rPr>
        <w:t>采购内容</w:t>
      </w:r>
    </w:p>
    <w:p w14:paraId="32BAB6A1">
      <w:pPr>
        <w:pageBreakBefore w:val="0"/>
        <w:kinsoku/>
        <w:overflowPunct/>
        <w:bidi w:val="0"/>
        <w:adjustRightInd w:val="0"/>
        <w:snapToGrid w:val="0"/>
        <w:spacing w:line="480" w:lineRule="exact"/>
        <w:ind w:firstLine="560" w:firstLineChars="200"/>
        <w:rPr>
          <w:rFonts w:hint="default" w:ascii="宋体" w:hAnsi="宋体" w:cs="宋体"/>
          <w:color w:val="000000"/>
          <w:kern w:val="0"/>
          <w:sz w:val="28"/>
          <w:szCs w:val="28"/>
          <w:highlight w:val="none"/>
          <w:lang w:val="en-US" w:eastAsia="zh-CN"/>
        </w:rPr>
      </w:pPr>
      <w:r>
        <w:rPr>
          <w:rFonts w:hint="eastAsia" w:ascii="宋体" w:hAnsi="宋体" w:cs="宋体"/>
          <w:color w:val="000000"/>
          <w:kern w:val="0"/>
          <w:sz w:val="28"/>
          <w:szCs w:val="28"/>
          <w:highlight w:val="none"/>
          <w:lang w:val="en-US" w:eastAsia="zh-CN"/>
        </w:rPr>
        <w:t>本院对拟搬迁的柴油发电机进行了现场详细勘察，发现柴油发电机组水箱散热器存在明显漏水现象，考虑设备在搬迁过程中因震动、移位等因素导致漏水情况进一步恶化，为避免搬迁后因水箱问题导致柴油发电机组设备无法正常运行，需要对两台800KW 柴油发电机组设备的水箱散热器漏水进行更换。</w:t>
      </w:r>
    </w:p>
    <w:p w14:paraId="6B5ED77D">
      <w:pPr>
        <w:pageBreakBefore w:val="0"/>
        <w:kinsoku/>
        <w:overflowPunct/>
        <w:bidi w:val="0"/>
        <w:adjustRightInd w:val="0"/>
        <w:snapToGrid w:val="0"/>
        <w:spacing w:line="480" w:lineRule="exact"/>
        <w:rPr>
          <w:rFonts w:hint="default" w:ascii="宋体" w:hAnsi="宋体" w:cs="宋体"/>
          <w:color w:val="000000"/>
          <w:kern w:val="0"/>
          <w:sz w:val="28"/>
          <w:szCs w:val="28"/>
          <w:highlight w:val="none"/>
          <w:lang w:val="en-US" w:eastAsia="zh-CN"/>
        </w:rPr>
      </w:pPr>
      <w:r>
        <w:rPr>
          <w:rFonts w:hint="eastAsia" w:ascii="宋体" w:hAnsi="宋体" w:cs="宋体"/>
          <w:color w:val="000000"/>
          <w:kern w:val="0"/>
          <w:sz w:val="28"/>
          <w:szCs w:val="28"/>
          <w:highlight w:val="none"/>
          <w:lang w:val="en-US" w:eastAsia="zh-CN"/>
        </w:rPr>
        <w:t>（一）采购清单</w:t>
      </w:r>
    </w:p>
    <w:tbl>
      <w:tblPr>
        <w:tblStyle w:val="4"/>
        <w:tblW w:w="9518" w:type="dxa"/>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170"/>
        <w:gridCol w:w="3320"/>
        <w:gridCol w:w="733"/>
        <w:gridCol w:w="690"/>
        <w:gridCol w:w="2925"/>
      </w:tblGrid>
      <w:tr w14:paraId="0E66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680" w:type="dxa"/>
            <w:vAlign w:val="center"/>
          </w:tcPr>
          <w:p w14:paraId="32C63578">
            <w:pPr>
              <w:pageBreakBefore w:val="0"/>
              <w:kinsoku/>
              <w:overflowPunct/>
              <w:bidi w:val="0"/>
              <w:adjustRightInd w:val="0"/>
              <w:snapToGrid w:val="0"/>
              <w:spacing w:line="480" w:lineRule="exact"/>
              <w:jc w:val="center"/>
              <w:rPr>
                <w:rFonts w:hint="eastAsia" w:eastAsiaTheme="minorEastAsia"/>
                <w:b/>
                <w:bCs/>
                <w:sz w:val="24"/>
                <w:szCs w:val="22"/>
                <w:highlight w:val="none"/>
                <w:vertAlign w:val="baseline"/>
                <w:lang w:val="en-US" w:eastAsia="zh-CN"/>
              </w:rPr>
            </w:pPr>
            <w:r>
              <w:rPr>
                <w:rFonts w:hint="eastAsia"/>
                <w:b/>
                <w:bCs/>
                <w:sz w:val="24"/>
                <w:szCs w:val="22"/>
                <w:highlight w:val="none"/>
                <w:vertAlign w:val="baseline"/>
                <w:lang w:val="en-US" w:eastAsia="zh-CN"/>
              </w:rPr>
              <w:t>序号</w:t>
            </w:r>
          </w:p>
        </w:tc>
        <w:tc>
          <w:tcPr>
            <w:tcW w:w="1170" w:type="dxa"/>
            <w:vAlign w:val="center"/>
          </w:tcPr>
          <w:p w14:paraId="44FB27F0">
            <w:pPr>
              <w:pageBreakBefore w:val="0"/>
              <w:kinsoku/>
              <w:overflowPunct/>
              <w:bidi w:val="0"/>
              <w:adjustRightInd w:val="0"/>
              <w:snapToGrid w:val="0"/>
              <w:spacing w:line="480" w:lineRule="exact"/>
              <w:jc w:val="center"/>
              <w:rPr>
                <w:rFonts w:hint="eastAsia" w:eastAsiaTheme="minorEastAsia"/>
                <w:b/>
                <w:bCs/>
                <w:sz w:val="24"/>
                <w:szCs w:val="22"/>
                <w:highlight w:val="none"/>
                <w:vertAlign w:val="baseline"/>
                <w:lang w:val="en-US" w:eastAsia="zh-CN"/>
              </w:rPr>
            </w:pPr>
            <w:r>
              <w:rPr>
                <w:rFonts w:hint="eastAsia"/>
                <w:b/>
                <w:bCs/>
                <w:sz w:val="24"/>
                <w:szCs w:val="22"/>
                <w:highlight w:val="none"/>
                <w:vertAlign w:val="baseline"/>
                <w:lang w:val="en-US" w:eastAsia="zh-CN"/>
              </w:rPr>
              <w:t>名称</w:t>
            </w:r>
          </w:p>
        </w:tc>
        <w:tc>
          <w:tcPr>
            <w:tcW w:w="3320" w:type="dxa"/>
            <w:vAlign w:val="center"/>
          </w:tcPr>
          <w:p w14:paraId="026CAF9D">
            <w:pPr>
              <w:pageBreakBefore w:val="0"/>
              <w:kinsoku/>
              <w:overflowPunct/>
              <w:bidi w:val="0"/>
              <w:adjustRightInd w:val="0"/>
              <w:snapToGrid w:val="0"/>
              <w:spacing w:line="480" w:lineRule="exact"/>
              <w:jc w:val="center"/>
              <w:rPr>
                <w:rFonts w:hint="default" w:eastAsiaTheme="minorEastAsia"/>
                <w:b/>
                <w:bCs/>
                <w:sz w:val="24"/>
                <w:szCs w:val="22"/>
                <w:highlight w:val="none"/>
                <w:vertAlign w:val="baseline"/>
                <w:lang w:val="en-US" w:eastAsia="zh-CN"/>
              </w:rPr>
            </w:pPr>
            <w:r>
              <w:rPr>
                <w:rFonts w:hint="eastAsia"/>
                <w:b/>
                <w:bCs/>
                <w:sz w:val="24"/>
                <w:szCs w:val="22"/>
                <w:highlight w:val="none"/>
                <w:vertAlign w:val="baseline"/>
                <w:lang w:val="en-US" w:eastAsia="zh-CN"/>
              </w:rPr>
              <w:t>规格、型号、参数</w:t>
            </w:r>
          </w:p>
        </w:tc>
        <w:tc>
          <w:tcPr>
            <w:tcW w:w="733" w:type="dxa"/>
            <w:vAlign w:val="center"/>
          </w:tcPr>
          <w:p w14:paraId="32421C57">
            <w:pPr>
              <w:pageBreakBefore w:val="0"/>
              <w:kinsoku/>
              <w:overflowPunct/>
              <w:bidi w:val="0"/>
              <w:adjustRightInd w:val="0"/>
              <w:snapToGrid w:val="0"/>
              <w:spacing w:line="480" w:lineRule="exact"/>
              <w:jc w:val="center"/>
              <w:rPr>
                <w:rFonts w:hint="eastAsia" w:eastAsiaTheme="minorEastAsia"/>
                <w:b/>
                <w:bCs/>
                <w:sz w:val="24"/>
                <w:szCs w:val="22"/>
                <w:highlight w:val="none"/>
                <w:vertAlign w:val="baseline"/>
                <w:lang w:val="en-US" w:eastAsia="zh-CN"/>
              </w:rPr>
            </w:pPr>
            <w:r>
              <w:rPr>
                <w:rFonts w:hint="eastAsia"/>
                <w:b/>
                <w:bCs/>
                <w:sz w:val="24"/>
                <w:szCs w:val="22"/>
                <w:highlight w:val="none"/>
                <w:vertAlign w:val="baseline"/>
                <w:lang w:val="en-US" w:eastAsia="zh-CN"/>
              </w:rPr>
              <w:t>单位</w:t>
            </w:r>
          </w:p>
        </w:tc>
        <w:tc>
          <w:tcPr>
            <w:tcW w:w="690" w:type="dxa"/>
            <w:vAlign w:val="center"/>
          </w:tcPr>
          <w:p w14:paraId="6BC94793">
            <w:pPr>
              <w:pageBreakBefore w:val="0"/>
              <w:kinsoku/>
              <w:overflowPunct/>
              <w:bidi w:val="0"/>
              <w:adjustRightInd w:val="0"/>
              <w:snapToGrid w:val="0"/>
              <w:spacing w:line="480" w:lineRule="exact"/>
              <w:jc w:val="center"/>
              <w:rPr>
                <w:rFonts w:hint="eastAsia" w:eastAsiaTheme="minorEastAsia"/>
                <w:b/>
                <w:bCs/>
                <w:sz w:val="24"/>
                <w:szCs w:val="22"/>
                <w:highlight w:val="none"/>
                <w:vertAlign w:val="baseline"/>
                <w:lang w:val="en-US" w:eastAsia="zh-CN"/>
              </w:rPr>
            </w:pPr>
            <w:r>
              <w:rPr>
                <w:rFonts w:hint="eastAsia"/>
                <w:b/>
                <w:bCs/>
                <w:sz w:val="24"/>
                <w:szCs w:val="22"/>
                <w:highlight w:val="none"/>
                <w:vertAlign w:val="baseline"/>
                <w:lang w:val="en-US" w:eastAsia="zh-CN"/>
              </w:rPr>
              <w:t>数量</w:t>
            </w:r>
          </w:p>
        </w:tc>
        <w:tc>
          <w:tcPr>
            <w:tcW w:w="2925" w:type="dxa"/>
            <w:vAlign w:val="center"/>
          </w:tcPr>
          <w:p w14:paraId="47B3DF6E">
            <w:pPr>
              <w:pageBreakBefore w:val="0"/>
              <w:kinsoku/>
              <w:overflowPunct/>
              <w:bidi w:val="0"/>
              <w:adjustRightInd w:val="0"/>
              <w:snapToGrid w:val="0"/>
              <w:spacing w:line="480" w:lineRule="exact"/>
              <w:jc w:val="center"/>
              <w:rPr>
                <w:rFonts w:hint="eastAsia" w:eastAsiaTheme="minorEastAsia"/>
                <w:b/>
                <w:bCs/>
                <w:sz w:val="24"/>
                <w:szCs w:val="22"/>
                <w:highlight w:val="none"/>
                <w:vertAlign w:val="baseline"/>
                <w:lang w:val="en-US" w:eastAsia="zh-CN"/>
              </w:rPr>
            </w:pPr>
            <w:r>
              <w:rPr>
                <w:rFonts w:hint="eastAsia"/>
                <w:b/>
                <w:bCs/>
                <w:sz w:val="24"/>
                <w:szCs w:val="22"/>
                <w:highlight w:val="none"/>
                <w:vertAlign w:val="baseline"/>
                <w:lang w:val="en-US" w:eastAsia="zh-CN"/>
              </w:rPr>
              <w:t>备注</w:t>
            </w:r>
          </w:p>
        </w:tc>
      </w:tr>
      <w:tr w14:paraId="57EE6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680" w:type="dxa"/>
            <w:vAlign w:val="center"/>
          </w:tcPr>
          <w:p w14:paraId="168BBA28">
            <w:pPr>
              <w:pageBreakBefore w:val="0"/>
              <w:kinsoku/>
              <w:overflowPunct/>
              <w:bidi w:val="0"/>
              <w:adjustRightInd w:val="0"/>
              <w:snapToGrid w:val="0"/>
              <w:spacing w:line="480" w:lineRule="exact"/>
              <w:jc w:val="center"/>
              <w:rPr>
                <w:rFonts w:hint="eastAsia" w:eastAsiaTheme="minorEastAsia"/>
                <w:highlight w:val="none"/>
                <w:vertAlign w:val="baseline"/>
                <w:lang w:val="en-US" w:eastAsia="zh-CN"/>
              </w:rPr>
            </w:pPr>
            <w:r>
              <w:rPr>
                <w:rFonts w:hint="eastAsia"/>
                <w:highlight w:val="none"/>
                <w:vertAlign w:val="baseline"/>
                <w:lang w:val="en-US" w:eastAsia="zh-CN"/>
              </w:rPr>
              <w:t>1</w:t>
            </w:r>
          </w:p>
        </w:tc>
        <w:tc>
          <w:tcPr>
            <w:tcW w:w="1170" w:type="dxa"/>
            <w:vAlign w:val="center"/>
          </w:tcPr>
          <w:p w14:paraId="4F598FE9">
            <w:pPr>
              <w:pageBreakBefore w:val="0"/>
              <w:kinsoku/>
              <w:overflowPunct/>
              <w:bidi w:val="0"/>
              <w:adjustRightInd w:val="0"/>
              <w:snapToGrid w:val="0"/>
              <w:spacing w:line="480" w:lineRule="exact"/>
              <w:jc w:val="center"/>
              <w:rPr>
                <w:rFonts w:hint="default" w:eastAsiaTheme="minorEastAsia"/>
                <w:sz w:val="22"/>
                <w:szCs w:val="21"/>
                <w:highlight w:val="none"/>
                <w:vertAlign w:val="baseline"/>
                <w:lang w:val="en-US" w:eastAsia="zh-CN"/>
              </w:rPr>
            </w:pPr>
            <w:r>
              <w:rPr>
                <w:rFonts w:hint="eastAsia"/>
                <w:sz w:val="22"/>
                <w:szCs w:val="21"/>
                <w:highlight w:val="none"/>
                <w:vertAlign w:val="baseline"/>
                <w:lang w:val="en-US" w:eastAsia="zh-CN"/>
              </w:rPr>
              <w:t>柴油发电机水箱散热器</w:t>
            </w:r>
          </w:p>
        </w:tc>
        <w:tc>
          <w:tcPr>
            <w:tcW w:w="3320" w:type="dxa"/>
            <w:vAlign w:val="top"/>
          </w:tcPr>
          <w:p w14:paraId="59C2A260">
            <w:pPr>
              <w:pageBreakBefore w:val="0"/>
              <w:kinsoku/>
              <w:overflowPunct/>
              <w:bidi w:val="0"/>
              <w:adjustRightInd w:val="0"/>
              <w:snapToGrid w:val="0"/>
              <w:spacing w:line="480" w:lineRule="exact"/>
              <w:ind w:firstLine="220" w:firstLineChars="100"/>
              <w:jc w:val="both"/>
              <w:rPr>
                <w:rFonts w:hint="eastAsia"/>
                <w:sz w:val="22"/>
                <w:szCs w:val="21"/>
                <w:highlight w:val="none"/>
                <w:vertAlign w:val="baseline"/>
                <w:lang w:val="en-US" w:eastAsia="zh-CN"/>
              </w:rPr>
            </w:pPr>
          </w:p>
          <w:p w14:paraId="1D8C5C75">
            <w:pPr>
              <w:pageBreakBefore w:val="0"/>
              <w:kinsoku/>
              <w:overflowPunct/>
              <w:bidi w:val="0"/>
              <w:adjustRightInd w:val="0"/>
              <w:snapToGrid w:val="0"/>
              <w:spacing w:line="480" w:lineRule="exact"/>
              <w:jc w:val="both"/>
              <w:rPr>
                <w:rFonts w:hint="eastAsia"/>
                <w:sz w:val="22"/>
                <w:szCs w:val="21"/>
                <w:highlight w:val="none"/>
                <w:vertAlign w:val="baseline"/>
                <w:lang w:val="en-US" w:eastAsia="zh-CN"/>
              </w:rPr>
            </w:pPr>
            <w:r>
              <w:rPr>
                <w:rFonts w:hint="eastAsia"/>
                <w:sz w:val="22"/>
                <w:szCs w:val="21"/>
                <w:highlight w:val="none"/>
                <w:vertAlign w:val="baseline"/>
                <w:lang w:val="en-US" w:eastAsia="zh-CN"/>
              </w:rPr>
              <w:t>满足柴油发电机组配套要求，柴油发电机规格型号如下：</w:t>
            </w:r>
          </w:p>
          <w:p w14:paraId="18354206">
            <w:pPr>
              <w:pageBreakBefore w:val="0"/>
              <w:kinsoku/>
              <w:overflowPunct/>
              <w:bidi w:val="0"/>
              <w:adjustRightInd w:val="0"/>
              <w:snapToGrid w:val="0"/>
              <w:spacing w:line="480" w:lineRule="exact"/>
              <w:jc w:val="both"/>
              <w:rPr>
                <w:rFonts w:hint="eastAsia"/>
                <w:sz w:val="22"/>
                <w:szCs w:val="21"/>
                <w:highlight w:val="none"/>
                <w:vertAlign w:val="baseline"/>
                <w:lang w:val="en-US" w:eastAsia="zh-CN"/>
              </w:rPr>
            </w:pPr>
            <w:r>
              <w:rPr>
                <w:rFonts w:hint="eastAsia"/>
                <w:sz w:val="22"/>
                <w:szCs w:val="21"/>
                <w:highlight w:val="none"/>
                <w:vertAlign w:val="baseline"/>
                <w:lang w:val="en-US" w:eastAsia="zh-CN"/>
              </w:rPr>
              <w:t>1、800KW康尔信柴油发电机组；</w:t>
            </w:r>
          </w:p>
          <w:p w14:paraId="581BF8E2">
            <w:pPr>
              <w:pageBreakBefore w:val="0"/>
              <w:numPr>
                <w:ilvl w:val="0"/>
                <w:numId w:val="1"/>
              </w:numPr>
              <w:kinsoku/>
              <w:overflowPunct/>
              <w:bidi w:val="0"/>
              <w:adjustRightInd w:val="0"/>
              <w:snapToGrid w:val="0"/>
              <w:spacing w:line="480" w:lineRule="exact"/>
              <w:jc w:val="both"/>
              <w:rPr>
                <w:rFonts w:hint="default" w:eastAsiaTheme="minorEastAsia"/>
                <w:sz w:val="22"/>
                <w:szCs w:val="21"/>
                <w:highlight w:val="none"/>
                <w:vertAlign w:val="baseline"/>
                <w:lang w:val="en-US" w:eastAsia="zh-CN"/>
              </w:rPr>
            </w:pPr>
            <w:r>
              <w:rPr>
                <w:rFonts w:hint="eastAsia"/>
                <w:sz w:val="22"/>
                <w:szCs w:val="21"/>
                <w:highlight w:val="none"/>
                <w:vertAlign w:val="baseline"/>
                <w:lang w:val="en-US" w:eastAsia="zh-CN"/>
              </w:rPr>
              <w:t>柴油发动机：品牌MTU， 型号16V2000G25；</w:t>
            </w:r>
          </w:p>
        </w:tc>
        <w:tc>
          <w:tcPr>
            <w:tcW w:w="733" w:type="dxa"/>
            <w:vAlign w:val="center"/>
          </w:tcPr>
          <w:p w14:paraId="5DB62B75">
            <w:pPr>
              <w:pageBreakBefore w:val="0"/>
              <w:kinsoku/>
              <w:overflowPunct/>
              <w:bidi w:val="0"/>
              <w:adjustRightInd w:val="0"/>
              <w:snapToGrid w:val="0"/>
              <w:spacing w:line="480" w:lineRule="exact"/>
              <w:jc w:val="center"/>
              <w:rPr>
                <w:rFonts w:hint="eastAsia" w:eastAsiaTheme="minorEastAsia"/>
                <w:sz w:val="22"/>
                <w:szCs w:val="21"/>
                <w:highlight w:val="none"/>
                <w:vertAlign w:val="baseline"/>
                <w:lang w:val="en-US" w:eastAsia="zh-CN"/>
              </w:rPr>
            </w:pPr>
            <w:r>
              <w:rPr>
                <w:rFonts w:hint="eastAsia"/>
                <w:sz w:val="22"/>
                <w:szCs w:val="21"/>
                <w:highlight w:val="none"/>
                <w:vertAlign w:val="baseline"/>
                <w:lang w:val="en-US" w:eastAsia="zh-CN"/>
              </w:rPr>
              <w:t>台</w:t>
            </w:r>
          </w:p>
        </w:tc>
        <w:tc>
          <w:tcPr>
            <w:tcW w:w="690" w:type="dxa"/>
            <w:vAlign w:val="center"/>
          </w:tcPr>
          <w:p w14:paraId="03D2D79B">
            <w:pPr>
              <w:pageBreakBefore w:val="0"/>
              <w:kinsoku/>
              <w:overflowPunct/>
              <w:bidi w:val="0"/>
              <w:adjustRightInd w:val="0"/>
              <w:snapToGrid w:val="0"/>
              <w:spacing w:line="480" w:lineRule="exact"/>
              <w:jc w:val="center"/>
              <w:rPr>
                <w:rFonts w:hint="default" w:eastAsiaTheme="minorEastAsia"/>
                <w:sz w:val="22"/>
                <w:szCs w:val="21"/>
                <w:highlight w:val="none"/>
                <w:vertAlign w:val="baseline"/>
                <w:lang w:val="en-US" w:eastAsia="zh-CN"/>
              </w:rPr>
            </w:pPr>
            <w:r>
              <w:rPr>
                <w:rFonts w:hint="eastAsia"/>
                <w:sz w:val="22"/>
                <w:szCs w:val="21"/>
                <w:highlight w:val="none"/>
                <w:vertAlign w:val="baseline"/>
                <w:lang w:val="en-US" w:eastAsia="zh-CN"/>
              </w:rPr>
              <w:t>2.00</w:t>
            </w:r>
          </w:p>
        </w:tc>
        <w:tc>
          <w:tcPr>
            <w:tcW w:w="2925" w:type="dxa"/>
            <w:vAlign w:val="top"/>
          </w:tcPr>
          <w:p w14:paraId="0491CBE7">
            <w:pPr>
              <w:pageBreakBefore w:val="0"/>
              <w:numPr>
                <w:ilvl w:val="0"/>
                <w:numId w:val="0"/>
              </w:numPr>
              <w:kinsoku/>
              <w:overflowPunct/>
              <w:bidi w:val="0"/>
              <w:adjustRightInd w:val="0"/>
              <w:snapToGrid w:val="0"/>
              <w:spacing w:line="480" w:lineRule="exact"/>
              <w:ind w:firstLine="440" w:firstLineChars="200"/>
              <w:jc w:val="both"/>
              <w:rPr>
                <w:rFonts w:hint="default"/>
                <w:sz w:val="22"/>
                <w:szCs w:val="21"/>
                <w:highlight w:val="none"/>
                <w:vertAlign w:val="baseline"/>
                <w:lang w:val="en-US" w:eastAsia="zh-CN"/>
              </w:rPr>
            </w:pPr>
            <w:r>
              <w:rPr>
                <w:rFonts w:hint="eastAsia"/>
                <w:sz w:val="22"/>
                <w:szCs w:val="21"/>
                <w:highlight w:val="none"/>
                <w:vertAlign w:val="baseline"/>
                <w:lang w:val="en-US" w:eastAsia="zh-CN"/>
              </w:rPr>
              <w:t>柴油发电机组配套水箱散热器（密闭式水冷却散热水箱）：含适配水箱、水管、配套风扇及为保证机组正常运行对水箱散热器维修更换所需的相关配件和主辅材（投标人可自行现场查勘评估更换维修费用）。</w:t>
            </w:r>
          </w:p>
        </w:tc>
      </w:tr>
    </w:tbl>
    <w:p w14:paraId="4B6D0C31">
      <w:pPr>
        <w:pStyle w:val="2"/>
        <w:pageBreakBefore w:val="0"/>
        <w:numPr>
          <w:ilvl w:val="0"/>
          <w:numId w:val="2"/>
        </w:numPr>
        <w:kinsoku/>
        <w:overflowPunct/>
        <w:bidi w:val="0"/>
        <w:adjustRightInd w:val="0"/>
        <w:snapToGrid w:val="0"/>
        <w:spacing w:line="480" w:lineRule="exact"/>
        <w:rPr>
          <w:rFonts w:hint="eastAsia"/>
          <w:sz w:val="28"/>
          <w:szCs w:val="28"/>
          <w:highlight w:val="none"/>
          <w:lang w:eastAsia="zh-CN"/>
        </w:rPr>
      </w:pPr>
      <w:r>
        <w:rPr>
          <w:rFonts w:hint="eastAsia"/>
          <w:sz w:val="28"/>
          <w:szCs w:val="28"/>
          <w:highlight w:val="none"/>
          <w:lang w:eastAsia="zh-CN"/>
        </w:rPr>
        <w:t>供货要求</w:t>
      </w:r>
    </w:p>
    <w:p w14:paraId="161BAF1D">
      <w:pPr>
        <w:pStyle w:val="2"/>
        <w:pageBreakBefore w:val="0"/>
        <w:numPr>
          <w:ilvl w:val="0"/>
          <w:numId w:val="0"/>
        </w:numPr>
        <w:kinsoku/>
        <w:overflowPunct/>
        <w:bidi w:val="0"/>
        <w:adjustRightInd w:val="0"/>
        <w:snapToGrid w:val="0"/>
        <w:spacing w:line="480" w:lineRule="exact"/>
        <w:ind w:firstLine="280" w:firstLineChars="100"/>
        <w:rPr>
          <w:rFonts w:hint="eastAsia"/>
          <w:sz w:val="28"/>
          <w:szCs w:val="28"/>
          <w:highlight w:val="none"/>
          <w:vertAlign w:val="baseline"/>
          <w:lang w:val="en-US" w:eastAsia="zh-CN"/>
        </w:rPr>
      </w:pPr>
      <w:r>
        <w:rPr>
          <w:rFonts w:hint="eastAsia" w:ascii="宋体" w:hAnsi="Courier New" w:eastAsia="宋体" w:cs="Times New Roman"/>
          <w:kern w:val="2"/>
          <w:sz w:val="28"/>
          <w:szCs w:val="28"/>
          <w:vertAlign w:val="baseline"/>
          <w:lang w:val="en-US" w:eastAsia="zh-CN" w:bidi="ar-SA"/>
        </w:rPr>
        <w:t>1、</w:t>
      </w:r>
      <w:r>
        <w:rPr>
          <w:rFonts w:hint="eastAsia"/>
          <w:sz w:val="28"/>
          <w:szCs w:val="28"/>
          <w:highlight w:val="none"/>
          <w:lang w:val="en-US" w:eastAsia="zh-CN"/>
        </w:rPr>
        <w:t>供货期：签订合同后25个日历天；</w:t>
      </w:r>
    </w:p>
    <w:p w14:paraId="01E3E1EA">
      <w:pPr>
        <w:pStyle w:val="2"/>
        <w:pageBreakBefore w:val="0"/>
        <w:numPr>
          <w:ilvl w:val="0"/>
          <w:numId w:val="0"/>
        </w:numPr>
        <w:kinsoku/>
        <w:overflowPunct/>
        <w:bidi w:val="0"/>
        <w:adjustRightInd w:val="0"/>
        <w:snapToGrid w:val="0"/>
        <w:spacing w:line="480" w:lineRule="exact"/>
        <w:ind w:firstLine="280" w:firstLineChars="100"/>
        <w:rPr>
          <w:rFonts w:hint="eastAsia"/>
          <w:sz w:val="28"/>
          <w:szCs w:val="28"/>
          <w:highlight w:val="none"/>
          <w:vertAlign w:val="baseline"/>
          <w:lang w:val="en-US" w:eastAsia="zh-CN"/>
        </w:rPr>
      </w:pPr>
      <w:r>
        <w:rPr>
          <w:rFonts w:hint="eastAsia" w:ascii="宋体" w:hAnsi="Courier New" w:eastAsia="宋体" w:cs="Times New Roman"/>
          <w:kern w:val="2"/>
          <w:sz w:val="28"/>
          <w:szCs w:val="28"/>
          <w:vertAlign w:val="baseline"/>
          <w:lang w:val="en-US" w:eastAsia="zh-CN" w:bidi="ar-SA"/>
        </w:rPr>
        <w:t>2、</w:t>
      </w:r>
      <w:r>
        <w:rPr>
          <w:rFonts w:hint="eastAsia"/>
          <w:sz w:val="28"/>
          <w:szCs w:val="28"/>
          <w:highlight w:val="none"/>
          <w:vertAlign w:val="baseline"/>
          <w:lang w:val="en-US" w:eastAsia="zh-CN"/>
        </w:rPr>
        <w:t>水箱散热器材质：铜质（全铜管铜散热片）；</w:t>
      </w:r>
    </w:p>
    <w:p w14:paraId="6AAFB84D">
      <w:pPr>
        <w:pStyle w:val="2"/>
        <w:pageBreakBefore w:val="0"/>
        <w:numPr>
          <w:ilvl w:val="0"/>
          <w:numId w:val="0"/>
        </w:numPr>
        <w:kinsoku/>
        <w:overflowPunct/>
        <w:bidi w:val="0"/>
        <w:adjustRightInd w:val="0"/>
        <w:snapToGrid w:val="0"/>
        <w:spacing w:line="480" w:lineRule="exact"/>
        <w:ind w:firstLine="280" w:firstLineChars="100"/>
        <w:rPr>
          <w:rFonts w:hint="default"/>
          <w:sz w:val="28"/>
          <w:szCs w:val="28"/>
          <w:highlight w:val="none"/>
          <w:lang w:val="en-US" w:eastAsia="zh-CN"/>
        </w:rPr>
      </w:pPr>
      <w:r>
        <w:rPr>
          <w:rFonts w:hint="default" w:ascii="宋体" w:hAnsi="Courier New" w:eastAsia="宋体" w:cs="Times New Roman"/>
          <w:kern w:val="2"/>
          <w:sz w:val="28"/>
          <w:szCs w:val="28"/>
          <w:lang w:val="en-US" w:eastAsia="zh-CN" w:bidi="ar-SA"/>
        </w:rPr>
        <w:t>3、</w:t>
      </w:r>
      <w:r>
        <w:rPr>
          <w:rFonts w:hint="eastAsia"/>
          <w:sz w:val="28"/>
          <w:szCs w:val="28"/>
          <w:highlight w:val="none"/>
          <w:vertAlign w:val="baseline"/>
          <w:lang w:val="en-US" w:eastAsia="zh-CN"/>
        </w:rPr>
        <w:t>本项目为交钥匙项目，配套水箱散热器采购、运输、上门更换安装、调试保证机组正常运行、免费维保等工作产生的全部费用均包含在投标费用中；</w:t>
      </w:r>
    </w:p>
    <w:p w14:paraId="53852BA3">
      <w:pPr>
        <w:pStyle w:val="2"/>
        <w:pageBreakBefore w:val="0"/>
        <w:numPr>
          <w:ilvl w:val="0"/>
          <w:numId w:val="0"/>
        </w:numPr>
        <w:kinsoku/>
        <w:overflowPunct/>
        <w:bidi w:val="0"/>
        <w:adjustRightInd w:val="0"/>
        <w:snapToGrid w:val="0"/>
        <w:spacing w:line="480" w:lineRule="exact"/>
        <w:ind w:firstLine="280" w:firstLineChars="100"/>
        <w:rPr>
          <w:rFonts w:hint="eastAsia"/>
          <w:sz w:val="28"/>
          <w:szCs w:val="28"/>
          <w:highlight w:val="none"/>
          <w:vertAlign w:val="baseline"/>
          <w:lang w:val="en-US" w:eastAsia="zh-CN"/>
        </w:rPr>
      </w:pPr>
      <w:r>
        <w:rPr>
          <w:rFonts w:hint="eastAsia" w:ascii="宋体" w:hAnsi="Courier New" w:eastAsia="宋体" w:cs="Times New Roman"/>
          <w:kern w:val="2"/>
          <w:sz w:val="28"/>
          <w:szCs w:val="28"/>
          <w:vertAlign w:val="baseline"/>
          <w:lang w:val="en-US" w:eastAsia="zh-CN" w:bidi="ar-SA"/>
        </w:rPr>
        <w:t>4、</w:t>
      </w:r>
      <w:r>
        <w:rPr>
          <w:rFonts w:hint="eastAsia"/>
          <w:sz w:val="28"/>
          <w:szCs w:val="28"/>
          <w:highlight w:val="none"/>
          <w:vertAlign w:val="baseline"/>
          <w:lang w:val="en-US" w:eastAsia="zh-CN"/>
        </w:rPr>
        <w:t>水箱散热器应完全匹配枞阳县人民医院拟搬迁柴油发电机组，满足发电机组型号和功率等相关要求，满足发电机组散热需求，不得由于维修更换水箱散热器导致发电机组发生性能下降等任何不利影响。</w:t>
      </w:r>
    </w:p>
    <w:p w14:paraId="6CFD05D7">
      <w:pPr>
        <w:pStyle w:val="2"/>
        <w:pageBreakBefore w:val="0"/>
        <w:numPr>
          <w:ilvl w:val="0"/>
          <w:numId w:val="0"/>
        </w:numPr>
        <w:kinsoku/>
        <w:overflowPunct/>
        <w:bidi w:val="0"/>
        <w:adjustRightInd w:val="0"/>
        <w:snapToGrid w:val="0"/>
        <w:spacing w:line="480" w:lineRule="exact"/>
        <w:ind w:firstLine="280" w:firstLineChars="100"/>
        <w:rPr>
          <w:rFonts w:hint="default"/>
          <w:sz w:val="28"/>
          <w:szCs w:val="28"/>
          <w:highlight w:val="none"/>
          <w:lang w:val="en-US" w:eastAsia="zh-CN"/>
        </w:rPr>
      </w:pPr>
      <w:r>
        <w:rPr>
          <w:rFonts w:hint="default" w:ascii="宋体" w:hAnsi="Courier New" w:eastAsia="宋体" w:cs="Times New Roman"/>
          <w:kern w:val="2"/>
          <w:sz w:val="28"/>
          <w:szCs w:val="28"/>
          <w:lang w:val="en-US" w:eastAsia="zh-CN" w:bidi="ar-SA"/>
        </w:rPr>
        <w:t>5、</w:t>
      </w:r>
      <w:r>
        <w:rPr>
          <w:rFonts w:hint="eastAsia"/>
          <w:sz w:val="28"/>
          <w:szCs w:val="28"/>
          <w:highlight w:val="none"/>
          <w:lang w:val="en-US" w:eastAsia="zh-CN"/>
        </w:rPr>
        <w:t>到货安装须密切配合枞阳县人民医院柴油发电机搬迁安装及机房降噪工程；</w:t>
      </w:r>
    </w:p>
    <w:p w14:paraId="2846F25D">
      <w:pPr>
        <w:pStyle w:val="2"/>
        <w:pageBreakBefore w:val="0"/>
        <w:numPr>
          <w:ilvl w:val="0"/>
          <w:numId w:val="0"/>
        </w:numPr>
        <w:kinsoku/>
        <w:overflowPunct/>
        <w:bidi w:val="0"/>
        <w:adjustRightInd w:val="0"/>
        <w:snapToGrid w:val="0"/>
        <w:spacing w:line="480" w:lineRule="exact"/>
        <w:ind w:firstLine="280" w:firstLineChars="100"/>
        <w:rPr>
          <w:rFonts w:hint="eastAsia"/>
          <w:sz w:val="28"/>
          <w:szCs w:val="28"/>
          <w:highlight w:val="none"/>
          <w:lang w:val="en-US" w:eastAsia="zh-CN"/>
        </w:rPr>
      </w:pPr>
      <w:r>
        <w:rPr>
          <w:rFonts w:hint="eastAsia" w:ascii="宋体" w:hAnsi="Courier New" w:eastAsia="宋体" w:cs="Times New Roman"/>
          <w:kern w:val="2"/>
          <w:sz w:val="28"/>
          <w:szCs w:val="28"/>
          <w:lang w:val="en-US" w:eastAsia="zh-CN" w:bidi="ar-SA"/>
        </w:rPr>
        <w:t>6、</w:t>
      </w:r>
      <w:r>
        <w:rPr>
          <w:rFonts w:hint="eastAsia"/>
          <w:sz w:val="28"/>
          <w:szCs w:val="28"/>
          <w:highlight w:val="none"/>
          <w:lang w:val="en-US" w:eastAsia="zh-CN"/>
        </w:rPr>
        <w:t>柴油发电机组铭牌参数及现场照片见附件。</w:t>
      </w:r>
    </w:p>
    <w:p w14:paraId="7D2A8E27">
      <w:pPr>
        <w:pageBreakBefore w:val="0"/>
        <w:kinsoku/>
        <w:overflowPunct/>
        <w:bidi w:val="0"/>
        <w:adjustRightInd w:val="0"/>
        <w:snapToGrid w:val="0"/>
        <w:spacing w:line="480" w:lineRule="exact"/>
        <w:rPr>
          <w:rFonts w:hint="eastAsia" w:ascii="宋体" w:hAnsi="宋体" w:cs="宋体"/>
          <w:b/>
          <w:kern w:val="0"/>
          <w:sz w:val="28"/>
          <w:szCs w:val="28"/>
          <w:highlight w:val="none"/>
        </w:rPr>
      </w:pPr>
      <w:r>
        <w:rPr>
          <w:rFonts w:hint="eastAsia" w:ascii="宋体" w:hAnsi="宋体" w:cs="宋体"/>
          <w:b/>
          <w:kern w:val="0"/>
          <w:sz w:val="28"/>
          <w:szCs w:val="28"/>
          <w:highlight w:val="none"/>
          <w:lang w:val="en-US" w:eastAsia="zh-CN"/>
        </w:rPr>
        <w:t>二</w:t>
      </w:r>
      <w:bookmarkStart w:id="0" w:name="_GoBack"/>
      <w:bookmarkEnd w:id="0"/>
      <w:r>
        <w:rPr>
          <w:rFonts w:hint="eastAsia" w:ascii="宋体" w:hAnsi="宋体" w:cs="宋体"/>
          <w:b/>
          <w:kern w:val="0"/>
          <w:sz w:val="28"/>
          <w:szCs w:val="28"/>
          <w:highlight w:val="none"/>
        </w:rPr>
        <w:t>、质保期及售后服务</w:t>
      </w:r>
    </w:p>
    <w:p w14:paraId="68C44943">
      <w:pPr>
        <w:pageBreakBefore w:val="0"/>
        <w:kinsoku/>
        <w:overflowPunct/>
        <w:bidi w:val="0"/>
        <w:adjustRightInd w:val="0"/>
        <w:snapToGrid w:val="0"/>
        <w:spacing w:line="480" w:lineRule="exact"/>
        <w:ind w:firstLine="280" w:firstLineChars="100"/>
        <w:rPr>
          <w:rFonts w:hint="eastAsia" w:ascii="宋体" w:hAnsi="宋体" w:cs="宋体"/>
          <w:color w:val="000000"/>
          <w:kern w:val="0"/>
          <w:sz w:val="28"/>
          <w:szCs w:val="28"/>
          <w:highlight w:val="none"/>
        </w:rPr>
      </w:pPr>
      <w:r>
        <w:rPr>
          <w:rFonts w:hint="eastAsia" w:ascii="宋体" w:hAnsi="宋体" w:cs="宋体"/>
          <w:color w:val="000000"/>
          <w:kern w:val="0"/>
          <w:sz w:val="28"/>
          <w:szCs w:val="28"/>
          <w:highlight w:val="none"/>
        </w:rPr>
        <w:t xml:space="preserve"> 1、从项目验收合格之日起计算，成交供应商对所提供的设备要求提供三年免费上门保修服务(含厂家未提供保修的设备及其配件)，原厂家有更长保修期限的以厂家提供为准。</w:t>
      </w:r>
    </w:p>
    <w:p w14:paraId="7AF169D6">
      <w:pPr>
        <w:pageBreakBefore w:val="0"/>
        <w:kinsoku/>
        <w:overflowPunct/>
        <w:bidi w:val="0"/>
        <w:adjustRightInd w:val="0"/>
        <w:snapToGrid w:val="0"/>
        <w:spacing w:line="480" w:lineRule="exact"/>
        <w:rPr>
          <w:rFonts w:hint="eastAsia" w:ascii="宋体" w:hAnsi="宋体" w:cs="宋体"/>
          <w:color w:val="000000"/>
          <w:kern w:val="0"/>
          <w:sz w:val="28"/>
          <w:szCs w:val="28"/>
          <w:highlight w:val="none"/>
        </w:rPr>
      </w:pPr>
      <w:r>
        <w:rPr>
          <w:rFonts w:hint="eastAsia" w:ascii="宋体" w:hAnsi="宋体" w:cs="宋体"/>
          <w:color w:val="000000"/>
          <w:kern w:val="0"/>
          <w:sz w:val="28"/>
          <w:szCs w:val="28"/>
          <w:highlight w:val="none"/>
        </w:rPr>
        <w:t xml:space="preserve">   2、在保修期内，产品在使用中出现</w:t>
      </w:r>
      <w:r>
        <w:rPr>
          <w:rFonts w:hint="eastAsia" w:ascii="宋体" w:hAnsi="宋体" w:cs="宋体"/>
          <w:color w:val="000000"/>
          <w:kern w:val="0"/>
          <w:sz w:val="28"/>
          <w:szCs w:val="28"/>
          <w:highlight w:val="none"/>
          <w:lang w:val="en-US" w:eastAsia="zh-CN"/>
        </w:rPr>
        <w:t>水箱散热器导致发电机组发生性能下降等不利影响和其他故障</w:t>
      </w:r>
      <w:r>
        <w:rPr>
          <w:rFonts w:hint="eastAsia" w:ascii="宋体" w:hAnsi="宋体" w:cs="宋体"/>
          <w:color w:val="000000"/>
          <w:kern w:val="0"/>
          <w:sz w:val="28"/>
          <w:szCs w:val="28"/>
          <w:highlight w:val="none"/>
        </w:rPr>
        <w:t>，</w:t>
      </w:r>
      <w:r>
        <w:rPr>
          <w:rFonts w:hint="eastAsia" w:ascii="宋体" w:hAnsi="宋体" w:cs="宋体"/>
          <w:color w:val="000000"/>
          <w:kern w:val="0"/>
          <w:sz w:val="28"/>
          <w:szCs w:val="28"/>
          <w:highlight w:val="none"/>
          <w:lang w:eastAsia="zh-CN"/>
        </w:rPr>
        <w:t>经柴油发电机组生产厂家判定为</w:t>
      </w:r>
      <w:r>
        <w:rPr>
          <w:rFonts w:hint="eastAsia" w:ascii="宋体" w:hAnsi="宋体" w:cs="宋体"/>
          <w:color w:val="000000"/>
          <w:kern w:val="0"/>
          <w:sz w:val="28"/>
          <w:szCs w:val="28"/>
          <w:highlight w:val="none"/>
          <w:lang w:val="en-US" w:eastAsia="zh-CN"/>
        </w:rPr>
        <w:t>与发电机组参数不匹配所致，</w:t>
      </w:r>
      <w:r>
        <w:rPr>
          <w:rFonts w:hint="eastAsia" w:ascii="宋体" w:hAnsi="宋体" w:cs="宋体"/>
          <w:color w:val="000000"/>
          <w:kern w:val="0"/>
          <w:sz w:val="28"/>
          <w:szCs w:val="28"/>
          <w:highlight w:val="none"/>
        </w:rPr>
        <w:t>成交供应商</w:t>
      </w:r>
      <w:r>
        <w:rPr>
          <w:rFonts w:hint="eastAsia" w:ascii="宋体" w:hAnsi="宋体" w:cs="宋体"/>
          <w:color w:val="000000"/>
          <w:kern w:val="0"/>
          <w:sz w:val="28"/>
          <w:szCs w:val="28"/>
          <w:highlight w:val="none"/>
          <w:lang w:eastAsia="zh-CN"/>
        </w:rPr>
        <w:t>应无条件更换所投产品</w:t>
      </w:r>
      <w:r>
        <w:rPr>
          <w:rFonts w:hint="eastAsia" w:ascii="宋体" w:hAnsi="宋体" w:cs="宋体"/>
          <w:color w:val="000000"/>
          <w:kern w:val="0"/>
          <w:sz w:val="28"/>
          <w:szCs w:val="28"/>
          <w:highlight w:val="none"/>
        </w:rPr>
        <w:t>，成交供应商不能单方面判断</w:t>
      </w:r>
      <w:r>
        <w:rPr>
          <w:rFonts w:hint="eastAsia" w:ascii="宋体" w:hAnsi="宋体" w:cs="宋体"/>
          <w:color w:val="000000"/>
          <w:kern w:val="0"/>
          <w:sz w:val="28"/>
          <w:szCs w:val="28"/>
          <w:highlight w:val="none"/>
          <w:lang w:eastAsia="zh-CN"/>
        </w:rPr>
        <w:t>所投产品满足需求拒绝更换所投产品，</w:t>
      </w:r>
      <w:r>
        <w:rPr>
          <w:rFonts w:hint="eastAsia" w:ascii="宋体" w:hAnsi="宋体" w:cs="宋体"/>
          <w:color w:val="000000"/>
          <w:kern w:val="0"/>
          <w:sz w:val="28"/>
          <w:szCs w:val="28"/>
          <w:highlight w:val="none"/>
        </w:rPr>
        <w:t>除非成交供应商能提供国家认可的、权威的鉴定单位出具的鉴定报告</w:t>
      </w:r>
      <w:r>
        <w:rPr>
          <w:rFonts w:hint="eastAsia" w:ascii="宋体" w:hAnsi="宋体" w:cs="宋体"/>
          <w:color w:val="000000"/>
          <w:kern w:val="0"/>
          <w:sz w:val="28"/>
          <w:szCs w:val="28"/>
          <w:highlight w:val="none"/>
          <w:lang w:eastAsia="zh-CN"/>
        </w:rPr>
        <w:t>（柴油发电机组生产厂家判定错误，鉴定费用由采购人承担）</w:t>
      </w:r>
      <w:r>
        <w:rPr>
          <w:rFonts w:hint="eastAsia" w:ascii="宋体" w:hAnsi="宋体" w:cs="宋体"/>
          <w:color w:val="000000"/>
          <w:kern w:val="0"/>
          <w:sz w:val="28"/>
          <w:szCs w:val="28"/>
          <w:highlight w:val="none"/>
        </w:rPr>
        <w:t>。</w:t>
      </w:r>
    </w:p>
    <w:p w14:paraId="5347D4B4">
      <w:pPr>
        <w:pageBreakBefore w:val="0"/>
        <w:kinsoku/>
        <w:overflowPunct/>
        <w:bidi w:val="0"/>
        <w:adjustRightInd w:val="0"/>
        <w:snapToGrid w:val="0"/>
        <w:spacing w:line="480" w:lineRule="exact"/>
        <w:rPr>
          <w:rFonts w:hint="eastAsia" w:ascii="宋体" w:hAnsi="宋体" w:cs="宋体"/>
          <w:color w:val="000000"/>
          <w:kern w:val="0"/>
          <w:sz w:val="28"/>
          <w:szCs w:val="28"/>
          <w:highlight w:val="none"/>
        </w:rPr>
      </w:pPr>
      <w:r>
        <w:rPr>
          <w:rFonts w:hint="eastAsia" w:ascii="宋体" w:hAnsi="宋体" w:cs="宋体"/>
          <w:color w:val="000000"/>
          <w:kern w:val="0"/>
          <w:sz w:val="28"/>
          <w:szCs w:val="28"/>
          <w:highlight w:val="none"/>
        </w:rPr>
        <w:t xml:space="preserve">  </w:t>
      </w:r>
      <w:r>
        <w:rPr>
          <w:rFonts w:hint="eastAsia" w:ascii="宋体" w:hAnsi="宋体" w:cs="宋体"/>
          <w:color w:val="000000"/>
          <w:kern w:val="0"/>
          <w:sz w:val="28"/>
          <w:szCs w:val="28"/>
          <w:highlight w:val="none"/>
          <w:lang w:val="en-US" w:eastAsia="zh-CN"/>
        </w:rPr>
        <w:t xml:space="preserve"> 3</w:t>
      </w:r>
      <w:r>
        <w:rPr>
          <w:rFonts w:hint="eastAsia" w:ascii="宋体" w:hAnsi="宋体" w:cs="宋体"/>
          <w:color w:val="000000"/>
          <w:kern w:val="0"/>
          <w:sz w:val="28"/>
          <w:szCs w:val="28"/>
          <w:highlight w:val="none"/>
        </w:rPr>
        <w:t>、保修期内用户所购设备各部件发生非人为故障，供货商应免费上门更换同种品牌规格型号的新部件;设备发生人为故障的，供货商应上门更换同种品牌规格型号的新部件，只收零配件成本，不加收其它任何费用。</w:t>
      </w:r>
    </w:p>
    <w:p w14:paraId="3F3EA797">
      <w:pPr>
        <w:pageBreakBefore w:val="0"/>
        <w:kinsoku/>
        <w:overflowPunct/>
        <w:bidi w:val="0"/>
        <w:adjustRightInd w:val="0"/>
        <w:snapToGrid w:val="0"/>
        <w:spacing w:line="480" w:lineRule="exact"/>
        <w:rPr>
          <w:rFonts w:hint="eastAsia" w:ascii="宋体" w:hAnsi="宋体" w:cs="宋体"/>
          <w:color w:val="000000"/>
          <w:kern w:val="0"/>
          <w:sz w:val="28"/>
          <w:szCs w:val="28"/>
          <w:highlight w:val="none"/>
        </w:rPr>
      </w:pPr>
      <w:r>
        <w:rPr>
          <w:rFonts w:hint="eastAsia" w:ascii="宋体" w:hAnsi="宋体" w:cs="宋体"/>
          <w:color w:val="000000"/>
          <w:kern w:val="0"/>
          <w:sz w:val="28"/>
          <w:szCs w:val="28"/>
          <w:highlight w:val="none"/>
        </w:rPr>
        <w:t xml:space="preserve">   </w:t>
      </w:r>
      <w:r>
        <w:rPr>
          <w:rFonts w:hint="eastAsia" w:ascii="宋体" w:hAnsi="宋体" w:cs="宋体"/>
          <w:color w:val="000000"/>
          <w:kern w:val="0"/>
          <w:sz w:val="28"/>
          <w:szCs w:val="28"/>
          <w:highlight w:val="none"/>
          <w:lang w:val="en-US" w:eastAsia="zh-CN"/>
        </w:rPr>
        <w:t>4</w:t>
      </w:r>
      <w:r>
        <w:rPr>
          <w:rFonts w:hint="eastAsia" w:ascii="宋体" w:hAnsi="宋体" w:cs="宋体"/>
          <w:color w:val="000000"/>
          <w:kern w:val="0"/>
          <w:sz w:val="28"/>
          <w:szCs w:val="28"/>
          <w:highlight w:val="none"/>
        </w:rPr>
        <w:t>、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02D82482">
      <w:pPr>
        <w:pageBreakBefore w:val="0"/>
        <w:kinsoku/>
        <w:overflowPunct/>
        <w:bidi w:val="0"/>
        <w:adjustRightInd w:val="0"/>
        <w:snapToGrid w:val="0"/>
        <w:spacing w:line="480" w:lineRule="exact"/>
        <w:rPr>
          <w:rFonts w:hint="eastAsia" w:ascii="宋体" w:hAnsi="宋体" w:cs="宋体"/>
          <w:color w:val="000000"/>
          <w:kern w:val="0"/>
          <w:sz w:val="28"/>
          <w:szCs w:val="28"/>
          <w:highlight w:val="none"/>
        </w:rPr>
      </w:pPr>
      <w:r>
        <w:rPr>
          <w:rFonts w:hint="eastAsia" w:ascii="宋体" w:hAnsi="宋体" w:cs="宋体"/>
          <w:color w:val="000000"/>
          <w:kern w:val="0"/>
          <w:sz w:val="28"/>
          <w:szCs w:val="28"/>
          <w:highlight w:val="none"/>
        </w:rPr>
        <w:t xml:space="preserve">   </w:t>
      </w:r>
      <w:r>
        <w:rPr>
          <w:rFonts w:hint="eastAsia" w:ascii="宋体" w:hAnsi="宋体" w:cs="宋体"/>
          <w:color w:val="000000"/>
          <w:kern w:val="0"/>
          <w:sz w:val="28"/>
          <w:szCs w:val="28"/>
          <w:highlight w:val="none"/>
          <w:lang w:val="en-US" w:eastAsia="zh-CN"/>
        </w:rPr>
        <w:t>5</w:t>
      </w:r>
      <w:r>
        <w:rPr>
          <w:rFonts w:hint="eastAsia" w:ascii="宋体" w:hAnsi="宋体" w:cs="宋体"/>
          <w:color w:val="000000"/>
          <w:kern w:val="0"/>
          <w:sz w:val="28"/>
          <w:szCs w:val="28"/>
          <w:highlight w:val="none"/>
        </w:rPr>
        <w:t>、保修期满后成交供应商向采购方提供合同设备的终身维修服务，只收零备件费，并以优惠价格提供。</w:t>
      </w:r>
    </w:p>
    <w:p w14:paraId="426B0AD5"/>
    <w:sectPr>
      <w:pgSz w:w="11906" w:h="16838"/>
      <w:pgMar w:top="1440" w:right="1689"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B2E0C8"/>
    <w:multiLevelType w:val="singleLevel"/>
    <w:tmpl w:val="06B2E0C8"/>
    <w:lvl w:ilvl="0" w:tentative="0">
      <w:start w:val="2"/>
      <w:numFmt w:val="chineseCounting"/>
      <w:suff w:val="nothing"/>
      <w:lvlText w:val="（%1）"/>
      <w:lvlJc w:val="left"/>
      <w:rPr>
        <w:rFonts w:hint="eastAsia"/>
      </w:rPr>
    </w:lvl>
  </w:abstractNum>
  <w:abstractNum w:abstractNumId="1">
    <w:nsid w:val="5313CCCD"/>
    <w:multiLevelType w:val="singleLevel"/>
    <w:tmpl w:val="5313CCCD"/>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45C1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2025-09-08T03:08:04Z</dcterms:created>
  <dc:creator>admin</dc:creator>
  <cp:lastModifiedBy>夏未凉</cp:lastModifiedBy>
  <dcterms:modified xsi:type="dcterms:W3CDTF">2025-09-08T03:09:41Z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B88C1B0C500C4301B08FD3B0E9DFF334_12</vt:lpwstr>
  </property>
</Properties>
</file>