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EA165">
      <w:pPr>
        <w:keepNext w:val="0"/>
        <w:keepLines w:val="0"/>
        <w:pageBreakBefore w:val="0"/>
        <w:widowControl w:val="0"/>
        <w:suppressLineNumbers/>
        <w:suppressAutoHyphens/>
        <w:kinsoku w:val="0"/>
        <w:wordWrap/>
        <w:overflowPunct w:val="0"/>
        <w:topLinePunct w:val="0"/>
        <w:autoSpaceDE w:val="0"/>
        <w:autoSpaceDN w:val="0"/>
        <w:bidi w:val="0"/>
        <w:adjustRightInd w:val="0"/>
        <w:snapToGrid w:val="0"/>
        <w:spacing w:line="440" w:lineRule="exact"/>
        <w:ind w:right="57" w:firstLine="3654" w:firstLineChars="1300"/>
        <w:textAlignment w:val="auto"/>
        <w:rPr>
          <w:rFonts w:hint="eastAsia" w:ascii="宋体" w:hAnsi="宋体" w:eastAsia="宋体" w:cs="宋体"/>
          <w:b/>
          <w:kern w:val="0"/>
          <w:sz w:val="28"/>
          <w:szCs w:val="28"/>
          <w:lang w:eastAsia="zh-CN"/>
        </w:rPr>
      </w:pPr>
      <w:r>
        <w:rPr>
          <w:rFonts w:hint="eastAsia" w:ascii="宋体" w:hAnsi="宋体" w:cs="宋体"/>
          <w:b/>
          <w:kern w:val="0"/>
          <w:sz w:val="28"/>
          <w:szCs w:val="28"/>
          <w:lang w:val="en-US" w:eastAsia="zh-CN"/>
        </w:rPr>
        <w:t>采购</w:t>
      </w:r>
      <w:r>
        <w:rPr>
          <w:rFonts w:hint="eastAsia" w:ascii="宋体" w:hAnsi="宋体" w:cs="宋体"/>
          <w:b/>
          <w:kern w:val="0"/>
          <w:sz w:val="28"/>
          <w:szCs w:val="28"/>
          <w:lang w:eastAsia="zh-CN"/>
        </w:rPr>
        <w:t>需求</w:t>
      </w:r>
    </w:p>
    <w:p w14:paraId="79A10A14">
      <w:pPr>
        <w:spacing w:line="40" w:lineRule="atLeast"/>
        <w:ind w:firstLine="281" w:firstLineChars="100"/>
        <w:jc w:val="left"/>
        <w:rPr>
          <w:rFonts w:hint="eastAsia" w:ascii="宋体" w:hAnsi="宋体" w:eastAsia="宋体" w:cs="宋体"/>
          <w:b/>
          <w:kern w:val="0"/>
          <w:sz w:val="28"/>
          <w:szCs w:val="28"/>
          <w:lang w:eastAsia="zh-CN"/>
        </w:rPr>
      </w:pPr>
      <w:r>
        <w:rPr>
          <w:rFonts w:hint="eastAsia" w:ascii="宋体" w:hAnsi="宋体" w:eastAsia="宋体" w:cs="宋体"/>
          <w:b/>
          <w:kern w:val="0"/>
          <w:sz w:val="28"/>
          <w:szCs w:val="28"/>
        </w:rPr>
        <w:t>本次</w:t>
      </w:r>
      <w:r>
        <w:rPr>
          <w:rFonts w:hint="eastAsia" w:ascii="宋体" w:hAnsi="宋体" w:cs="宋体"/>
          <w:b/>
          <w:kern w:val="0"/>
          <w:sz w:val="28"/>
          <w:szCs w:val="28"/>
          <w:lang w:eastAsia="zh-CN"/>
        </w:rPr>
        <w:t>全自动血型分析仪采购</w:t>
      </w:r>
      <w:r>
        <w:rPr>
          <w:rFonts w:hint="eastAsia" w:ascii="宋体" w:hAnsi="宋体" w:eastAsia="宋体" w:cs="宋体"/>
          <w:b/>
          <w:kern w:val="0"/>
          <w:sz w:val="28"/>
          <w:szCs w:val="28"/>
        </w:rPr>
        <w:t>项目，</w:t>
      </w:r>
      <w:r>
        <w:rPr>
          <w:rFonts w:hint="eastAsia" w:ascii="宋体" w:hAnsi="宋体" w:cs="宋体"/>
          <w:b/>
          <w:kern w:val="0"/>
          <w:sz w:val="28"/>
          <w:szCs w:val="28"/>
          <w:lang w:eastAsia="zh-CN"/>
        </w:rPr>
        <w:t>主要是采购全自动血型分析仪一套。</w:t>
      </w:r>
    </w:p>
    <w:p w14:paraId="5804F484">
      <w:pPr>
        <w:keepNext w:val="0"/>
        <w:keepLines w:val="0"/>
        <w:pageBreakBefore w:val="0"/>
        <w:widowControl w:val="0"/>
        <w:suppressLineNumbers/>
        <w:suppressAutoHyphens/>
        <w:kinsoku w:val="0"/>
        <w:wordWrap/>
        <w:overflowPunct w:val="0"/>
        <w:topLinePunct w:val="0"/>
        <w:autoSpaceDE w:val="0"/>
        <w:autoSpaceDN w:val="0"/>
        <w:bidi w:val="0"/>
        <w:adjustRightInd w:val="0"/>
        <w:snapToGrid w:val="0"/>
        <w:spacing w:line="440" w:lineRule="exact"/>
        <w:ind w:right="57" w:firstLine="643" w:firstLineChars="200"/>
        <w:textAlignment w:val="auto"/>
        <w:rPr>
          <w:rFonts w:hint="eastAsia" w:ascii="Times New Roman" w:hAnsi="Times New Roman" w:eastAsia="仿宋_GB2312" w:cs="Times New Roman"/>
          <w:b/>
          <w:bCs/>
          <w:kern w:val="44"/>
          <w:sz w:val="32"/>
          <w:szCs w:val="44"/>
          <w:lang w:eastAsia="zh-CN"/>
        </w:rPr>
      </w:pPr>
      <w:r>
        <w:rPr>
          <w:rFonts w:hint="eastAsia" w:eastAsia="仿宋_GB2312" w:cs="Times New Roman"/>
          <w:b/>
          <w:bCs/>
          <w:kern w:val="44"/>
          <w:sz w:val="32"/>
          <w:szCs w:val="44"/>
          <w:lang w:eastAsia="zh-CN"/>
        </w:rPr>
        <w:t>一、技术参数</w:t>
      </w:r>
      <w:r>
        <w:rPr>
          <w:rFonts w:hint="eastAsia" w:ascii="Times New Roman" w:hAnsi="Times New Roman" w:eastAsia="仿宋_GB2312" w:cs="Times New Roman"/>
          <w:b/>
          <w:bCs/>
          <w:kern w:val="44"/>
          <w:sz w:val="32"/>
          <w:szCs w:val="44"/>
        </w:rPr>
        <w:t>及要求</w:t>
      </w:r>
      <w:r>
        <w:rPr>
          <w:rFonts w:hint="eastAsia" w:ascii="Times New Roman" w:hAnsi="Times New Roman" w:eastAsia="仿宋_GB2312" w:cs="Times New Roman"/>
          <w:b/>
          <w:bCs/>
          <w:kern w:val="44"/>
          <w:sz w:val="32"/>
          <w:szCs w:val="44"/>
          <w:lang w:eastAsia="zh-CN"/>
        </w:rPr>
        <w:t>：</w:t>
      </w:r>
    </w:p>
    <w:tbl>
      <w:tblPr>
        <w:tblStyle w:val="2"/>
        <w:tblW w:w="9771" w:type="dxa"/>
        <w:tblInd w:w="-459" w:type="dxa"/>
        <w:tblLayout w:type="fixed"/>
        <w:tblCellMar>
          <w:top w:w="0" w:type="dxa"/>
          <w:left w:w="108" w:type="dxa"/>
          <w:bottom w:w="0" w:type="dxa"/>
          <w:right w:w="108" w:type="dxa"/>
        </w:tblCellMar>
      </w:tblPr>
      <w:tblGrid>
        <w:gridCol w:w="1024"/>
        <w:gridCol w:w="1373"/>
        <w:gridCol w:w="15"/>
        <w:gridCol w:w="7"/>
        <w:gridCol w:w="7352"/>
      </w:tblGrid>
      <w:tr w14:paraId="654F99AB">
        <w:tblPrEx>
          <w:tblCellMar>
            <w:top w:w="0" w:type="dxa"/>
            <w:left w:w="108" w:type="dxa"/>
            <w:bottom w:w="0" w:type="dxa"/>
            <w:right w:w="108" w:type="dxa"/>
          </w:tblCellMar>
        </w:tblPrEx>
        <w:trPr>
          <w:trHeight w:val="976"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07E3F715">
            <w:pPr>
              <w:rPr>
                <w:rFonts w:hint="eastAsia"/>
                <w:szCs w:val="21"/>
              </w:rPr>
            </w:pPr>
            <w:r>
              <w:rPr>
                <w:rFonts w:hint="eastAsia"/>
                <w:szCs w:val="21"/>
              </w:rPr>
              <w:t>1.</w:t>
            </w:r>
          </w:p>
        </w:tc>
        <w:tc>
          <w:tcPr>
            <w:tcW w:w="1373" w:type="dxa"/>
            <w:tcBorders>
              <w:top w:val="single" w:color="000000" w:sz="4" w:space="0"/>
              <w:left w:val="single" w:color="000000" w:sz="4" w:space="0"/>
              <w:bottom w:val="single" w:color="000000" w:sz="4" w:space="0"/>
              <w:right w:val="single" w:color="auto" w:sz="4" w:space="0"/>
            </w:tcBorders>
            <w:noWrap w:val="0"/>
            <w:vAlign w:val="center"/>
          </w:tcPr>
          <w:p w14:paraId="14C21F4F">
            <w:pPr>
              <w:rPr>
                <w:rFonts w:hint="eastAsia"/>
                <w:szCs w:val="21"/>
              </w:rPr>
            </w:pPr>
            <w:r>
              <w:rPr>
                <w:rFonts w:hint="eastAsia" w:ascii="宋体" w:hAnsi="宋体" w:cs="宋体"/>
                <w:kern w:val="0"/>
                <w:szCs w:val="21"/>
              </w:rPr>
              <w:t>用途：</w:t>
            </w:r>
          </w:p>
        </w:tc>
        <w:tc>
          <w:tcPr>
            <w:tcW w:w="7374" w:type="dxa"/>
            <w:gridSpan w:val="3"/>
            <w:tcBorders>
              <w:top w:val="single" w:color="000000" w:sz="4" w:space="0"/>
              <w:left w:val="single" w:color="000000" w:sz="4" w:space="0"/>
              <w:bottom w:val="single" w:color="000000" w:sz="4" w:space="0"/>
              <w:right w:val="single" w:color="auto" w:sz="4" w:space="0"/>
            </w:tcBorders>
            <w:noWrap w:val="0"/>
            <w:vAlign w:val="center"/>
          </w:tcPr>
          <w:p w14:paraId="522738AD">
            <w:pPr>
              <w:rPr>
                <w:rFonts w:hint="eastAsia"/>
                <w:szCs w:val="21"/>
              </w:rPr>
            </w:pPr>
            <w:r>
              <w:rPr>
                <w:rFonts w:hint="eastAsia"/>
                <w:szCs w:val="21"/>
              </w:rPr>
              <w:t>全自动完成ABO、Rh（D）血型及不规则抗体筛选、交叉配血等实验。从样品扫描、加样、稀释、加试剂、孵育、离心、判读结果，全部自动完成，无需人工干预。</w:t>
            </w:r>
          </w:p>
        </w:tc>
      </w:tr>
      <w:tr w14:paraId="517CA54F">
        <w:tblPrEx>
          <w:tblCellMar>
            <w:top w:w="0" w:type="dxa"/>
            <w:left w:w="108" w:type="dxa"/>
            <w:bottom w:w="0" w:type="dxa"/>
            <w:right w:w="108" w:type="dxa"/>
          </w:tblCellMar>
        </w:tblPrEx>
        <w:trPr>
          <w:trHeight w:val="345"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7C43C474">
            <w:pPr>
              <w:rPr>
                <w:rFonts w:hint="eastAsia"/>
                <w:szCs w:val="21"/>
              </w:rPr>
            </w:pPr>
            <w:r>
              <w:rPr>
                <w:szCs w:val="21"/>
              </w:rPr>
              <w:t>2</w:t>
            </w:r>
            <w:r>
              <w:rPr>
                <w:rFonts w:hint="eastAsia"/>
                <w:szCs w:val="21"/>
              </w:rPr>
              <w:t>.</w:t>
            </w:r>
          </w:p>
        </w:tc>
        <w:tc>
          <w:tcPr>
            <w:tcW w:w="1373" w:type="dxa"/>
            <w:tcBorders>
              <w:top w:val="single" w:color="000000" w:sz="4" w:space="0"/>
              <w:left w:val="single" w:color="000000" w:sz="4" w:space="0"/>
              <w:bottom w:val="single" w:color="000000" w:sz="4" w:space="0"/>
              <w:right w:val="single" w:color="auto" w:sz="4" w:space="0"/>
            </w:tcBorders>
            <w:noWrap w:val="0"/>
            <w:vAlign w:val="center"/>
          </w:tcPr>
          <w:p w14:paraId="63B20C15">
            <w:pPr>
              <w:rPr>
                <w:rFonts w:hint="eastAsia" w:ascii="宋体" w:hAnsi="宋体" w:cs="宋体"/>
                <w:kern w:val="0"/>
                <w:szCs w:val="21"/>
              </w:rPr>
            </w:pPr>
            <w:r>
              <w:rPr>
                <w:rFonts w:hint="eastAsia" w:ascii="宋体" w:hAnsi="宋体" w:cs="宋体"/>
                <w:kern w:val="0"/>
                <w:szCs w:val="21"/>
              </w:rPr>
              <w:t>适用卡型：</w:t>
            </w:r>
          </w:p>
        </w:tc>
        <w:tc>
          <w:tcPr>
            <w:tcW w:w="7374" w:type="dxa"/>
            <w:gridSpan w:val="3"/>
            <w:tcBorders>
              <w:top w:val="single" w:color="000000" w:sz="4" w:space="0"/>
              <w:left w:val="single" w:color="000000" w:sz="4" w:space="0"/>
              <w:bottom w:val="single" w:color="000000" w:sz="4" w:space="0"/>
              <w:right w:val="single" w:color="auto" w:sz="4" w:space="0"/>
            </w:tcBorders>
            <w:noWrap w:val="0"/>
            <w:vAlign w:val="center"/>
          </w:tcPr>
          <w:p w14:paraId="2941F7ED">
            <w:pPr>
              <w:rPr>
                <w:rFonts w:hint="eastAsia" w:ascii="宋体" w:hAnsi="宋体"/>
                <w:szCs w:val="21"/>
              </w:rPr>
            </w:pPr>
            <w:r>
              <w:rPr>
                <w:rFonts w:hint="eastAsia"/>
                <w:szCs w:val="21"/>
              </w:rPr>
              <w:t>8孔微柱凝胶卡</w:t>
            </w:r>
          </w:p>
        </w:tc>
      </w:tr>
      <w:tr w14:paraId="3EF181CA">
        <w:tblPrEx>
          <w:tblCellMar>
            <w:top w:w="0" w:type="dxa"/>
            <w:left w:w="108" w:type="dxa"/>
            <w:bottom w:w="0" w:type="dxa"/>
            <w:right w:w="108" w:type="dxa"/>
          </w:tblCellMar>
        </w:tblPrEx>
        <w:trPr>
          <w:trHeight w:val="345"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43A4468F">
            <w:pPr>
              <w:rPr>
                <w:rFonts w:hint="eastAsia"/>
                <w:szCs w:val="21"/>
              </w:rPr>
            </w:pPr>
            <w:r>
              <w:rPr>
                <w:szCs w:val="21"/>
              </w:rPr>
              <w:t>3</w:t>
            </w:r>
            <w:r>
              <w:rPr>
                <w:rFonts w:hint="eastAsia"/>
                <w:szCs w:val="21"/>
              </w:rPr>
              <w:t>.</w:t>
            </w:r>
          </w:p>
        </w:tc>
        <w:tc>
          <w:tcPr>
            <w:tcW w:w="1373" w:type="dxa"/>
            <w:tcBorders>
              <w:top w:val="single" w:color="000000" w:sz="4" w:space="0"/>
              <w:left w:val="single" w:color="000000" w:sz="4" w:space="0"/>
              <w:bottom w:val="single" w:color="000000" w:sz="4" w:space="0"/>
              <w:right w:val="single" w:color="auto" w:sz="4" w:space="0"/>
            </w:tcBorders>
            <w:noWrap w:val="0"/>
            <w:vAlign w:val="center"/>
          </w:tcPr>
          <w:p w14:paraId="4B875D1A">
            <w:pPr>
              <w:rPr>
                <w:rFonts w:hint="eastAsia" w:ascii="宋体" w:hAnsi="宋体" w:cs="宋体"/>
                <w:kern w:val="0"/>
                <w:szCs w:val="21"/>
              </w:rPr>
            </w:pPr>
            <w:r>
              <w:rPr>
                <w:rFonts w:hint="eastAsia"/>
                <w:szCs w:val="21"/>
              </w:rPr>
              <w:t>处理速度：</w:t>
            </w:r>
          </w:p>
        </w:tc>
        <w:tc>
          <w:tcPr>
            <w:tcW w:w="7374" w:type="dxa"/>
            <w:gridSpan w:val="3"/>
            <w:tcBorders>
              <w:top w:val="single" w:color="000000" w:sz="4" w:space="0"/>
              <w:left w:val="single" w:color="000000" w:sz="4" w:space="0"/>
              <w:bottom w:val="single" w:color="000000" w:sz="4" w:space="0"/>
              <w:right w:val="single" w:color="auto" w:sz="4" w:space="0"/>
            </w:tcBorders>
            <w:noWrap w:val="0"/>
            <w:vAlign w:val="center"/>
          </w:tcPr>
          <w:p w14:paraId="6E993B36">
            <w:pPr>
              <w:rPr>
                <w:rFonts w:hint="eastAsia"/>
                <w:szCs w:val="21"/>
              </w:rPr>
            </w:pPr>
            <w:r>
              <w:rPr>
                <w:rFonts w:hint="eastAsia" w:ascii="宋体" w:hAnsi="宋体" w:cs="宋体"/>
              </w:rPr>
              <w:t>自标本扫码到结果报告，每小时可完成血型鉴定≥</w:t>
            </w:r>
            <w:r>
              <w:rPr>
                <w:rFonts w:ascii="宋体" w:hAnsi="宋体" w:cs="宋体"/>
              </w:rPr>
              <w:t>42</w:t>
            </w:r>
            <w:r>
              <w:rPr>
                <w:rFonts w:hint="eastAsia" w:ascii="宋体" w:hAnsi="宋体" w:cs="宋体"/>
              </w:rPr>
              <w:t>卡/小时。</w:t>
            </w:r>
          </w:p>
        </w:tc>
      </w:tr>
      <w:tr w14:paraId="29371021">
        <w:tblPrEx>
          <w:tblCellMar>
            <w:top w:w="0" w:type="dxa"/>
            <w:left w:w="108" w:type="dxa"/>
            <w:bottom w:w="0" w:type="dxa"/>
            <w:right w:w="108" w:type="dxa"/>
          </w:tblCellMar>
        </w:tblPrEx>
        <w:trPr>
          <w:trHeight w:val="976"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1BB6085F">
            <w:pPr>
              <w:rPr>
                <w:rFonts w:hint="eastAsia"/>
                <w:szCs w:val="21"/>
              </w:rPr>
            </w:pPr>
            <w:r>
              <w:rPr>
                <w:szCs w:val="21"/>
              </w:rPr>
              <w:t>4</w:t>
            </w:r>
            <w:r>
              <w:rPr>
                <w:rFonts w:hint="eastAsia"/>
                <w:szCs w:val="21"/>
              </w:rPr>
              <w:t>.</w:t>
            </w:r>
          </w:p>
        </w:tc>
        <w:tc>
          <w:tcPr>
            <w:tcW w:w="1373" w:type="dxa"/>
            <w:tcBorders>
              <w:top w:val="single" w:color="000000" w:sz="4" w:space="0"/>
              <w:left w:val="single" w:color="000000" w:sz="4" w:space="0"/>
              <w:bottom w:val="single" w:color="000000" w:sz="4" w:space="0"/>
              <w:right w:val="single" w:color="auto" w:sz="4" w:space="0"/>
            </w:tcBorders>
            <w:noWrap w:val="0"/>
            <w:vAlign w:val="center"/>
          </w:tcPr>
          <w:p w14:paraId="6B479F0A">
            <w:pPr>
              <w:rPr>
                <w:rFonts w:hint="eastAsia"/>
                <w:szCs w:val="21"/>
              </w:rPr>
            </w:pPr>
            <w:r>
              <w:rPr>
                <w:rFonts w:hint="eastAsia"/>
                <w:szCs w:val="21"/>
              </w:rPr>
              <w:t>工作模式：</w:t>
            </w:r>
          </w:p>
        </w:tc>
        <w:tc>
          <w:tcPr>
            <w:tcW w:w="7374" w:type="dxa"/>
            <w:gridSpan w:val="3"/>
            <w:tcBorders>
              <w:top w:val="single" w:color="000000" w:sz="4" w:space="0"/>
              <w:left w:val="single" w:color="000000" w:sz="4" w:space="0"/>
              <w:bottom w:val="single" w:color="000000" w:sz="4" w:space="0"/>
              <w:right w:val="single" w:color="auto" w:sz="4" w:space="0"/>
            </w:tcBorders>
            <w:noWrap w:val="0"/>
            <w:vAlign w:val="center"/>
          </w:tcPr>
          <w:p w14:paraId="5AAE69ED">
            <w:pPr>
              <w:rPr>
                <w:rFonts w:hint="eastAsia"/>
                <w:szCs w:val="21"/>
              </w:rPr>
            </w:pPr>
            <w:r>
              <w:rPr>
                <w:rFonts w:hint="eastAsia"/>
                <w:szCs w:val="21"/>
              </w:rPr>
              <w:t>循环进样、持续进卡；多项目并行工作，可自定义每个标本的检测项目，可对同一批样本同时提交ABO血型定型、Rh（D）血型定型、不规则抗体、交叉配血等检测项目。</w:t>
            </w:r>
          </w:p>
        </w:tc>
      </w:tr>
      <w:tr w14:paraId="03C15628">
        <w:tblPrEx>
          <w:tblCellMar>
            <w:top w:w="0" w:type="dxa"/>
            <w:left w:w="108" w:type="dxa"/>
            <w:bottom w:w="0" w:type="dxa"/>
            <w:right w:w="108" w:type="dxa"/>
          </w:tblCellMar>
        </w:tblPrEx>
        <w:trPr>
          <w:trHeight w:val="345"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7EA88345">
            <w:pPr>
              <w:rPr>
                <w:rFonts w:hint="eastAsia"/>
                <w:szCs w:val="21"/>
              </w:rPr>
            </w:pPr>
            <w:r>
              <w:rPr>
                <w:szCs w:val="21"/>
              </w:rPr>
              <w:t>5</w:t>
            </w:r>
            <w:r>
              <w:rPr>
                <w:rFonts w:hint="eastAsia"/>
                <w:szCs w:val="21"/>
              </w:rPr>
              <w:t>.</w:t>
            </w:r>
          </w:p>
        </w:tc>
        <w:tc>
          <w:tcPr>
            <w:tcW w:w="1373" w:type="dxa"/>
            <w:tcBorders>
              <w:top w:val="single" w:color="000000" w:sz="4" w:space="0"/>
              <w:left w:val="single" w:color="000000" w:sz="4" w:space="0"/>
              <w:bottom w:val="single" w:color="000000" w:sz="4" w:space="0"/>
              <w:right w:val="single" w:color="auto" w:sz="4" w:space="0"/>
            </w:tcBorders>
            <w:noWrap w:val="0"/>
            <w:vAlign w:val="center"/>
          </w:tcPr>
          <w:p w14:paraId="231D6A72">
            <w:pPr>
              <w:rPr>
                <w:rFonts w:hint="eastAsia"/>
                <w:szCs w:val="21"/>
              </w:rPr>
            </w:pPr>
            <w:r>
              <w:rPr>
                <w:rFonts w:hint="eastAsia"/>
                <w:szCs w:val="21"/>
              </w:rPr>
              <w:t>机械臂：</w:t>
            </w:r>
          </w:p>
        </w:tc>
        <w:tc>
          <w:tcPr>
            <w:tcW w:w="7374" w:type="dxa"/>
            <w:gridSpan w:val="3"/>
            <w:tcBorders>
              <w:top w:val="single" w:color="000000" w:sz="4" w:space="0"/>
              <w:left w:val="single" w:color="000000" w:sz="4" w:space="0"/>
              <w:bottom w:val="single" w:color="000000" w:sz="4" w:space="0"/>
              <w:right w:val="single" w:color="auto" w:sz="4" w:space="0"/>
            </w:tcBorders>
            <w:noWrap w:val="0"/>
            <w:vAlign w:val="center"/>
          </w:tcPr>
          <w:p w14:paraId="1E44F1B5">
            <w:pPr>
              <w:rPr>
                <w:rFonts w:hint="eastAsia"/>
                <w:szCs w:val="21"/>
              </w:rPr>
            </w:pPr>
            <w:r>
              <w:rPr>
                <w:rFonts w:hint="eastAsia" w:ascii="宋体" w:hAnsi="宋体"/>
                <w:szCs w:val="21"/>
              </w:rPr>
              <w:t>≥2个独立的机械臂，实验中两个机械臂同步运行，并列加样和移卡。</w:t>
            </w:r>
          </w:p>
        </w:tc>
      </w:tr>
      <w:tr w14:paraId="28CE98E5">
        <w:tblPrEx>
          <w:tblCellMar>
            <w:top w:w="0" w:type="dxa"/>
            <w:left w:w="108" w:type="dxa"/>
            <w:bottom w:w="0" w:type="dxa"/>
            <w:right w:w="108" w:type="dxa"/>
          </w:tblCellMar>
        </w:tblPrEx>
        <w:trPr>
          <w:trHeight w:val="345" w:hRule="atLeast"/>
        </w:trPr>
        <w:tc>
          <w:tcPr>
            <w:tcW w:w="1024" w:type="dxa"/>
            <w:tcBorders>
              <w:top w:val="single" w:color="000000" w:sz="4" w:space="0"/>
              <w:left w:val="single" w:color="000000" w:sz="4" w:space="0"/>
              <w:bottom w:val="single" w:color="000000" w:sz="4" w:space="0"/>
              <w:right w:val="single" w:color="000000" w:sz="4" w:space="0"/>
            </w:tcBorders>
            <w:noWrap w:val="0"/>
            <w:vAlign w:val="center"/>
          </w:tcPr>
          <w:p w14:paraId="5A02DCFE">
            <w:pPr>
              <w:widowControl/>
              <w:rPr>
                <w:rFonts w:hint="eastAsia" w:ascii="宋体" w:hAnsi="宋体" w:cs="宋体"/>
                <w:kern w:val="0"/>
                <w:szCs w:val="21"/>
              </w:rPr>
            </w:pPr>
            <w:r>
              <w:rPr>
                <w:rFonts w:ascii="宋体" w:hAnsi="宋体" w:cs="宋体"/>
                <w:kern w:val="0"/>
                <w:szCs w:val="21"/>
              </w:rPr>
              <w:t>6</w:t>
            </w:r>
            <w:r>
              <w:rPr>
                <w:rFonts w:hint="eastAsia" w:ascii="宋体" w:hAnsi="宋体" w:cs="宋体"/>
                <w:kern w:val="0"/>
                <w:szCs w:val="21"/>
              </w:rPr>
              <w:t>．</w:t>
            </w:r>
          </w:p>
        </w:tc>
        <w:tc>
          <w:tcPr>
            <w:tcW w:w="8747" w:type="dxa"/>
            <w:gridSpan w:val="4"/>
            <w:tcBorders>
              <w:top w:val="single" w:color="000000" w:sz="4" w:space="0"/>
              <w:left w:val="single" w:color="000000" w:sz="4" w:space="0"/>
              <w:bottom w:val="single" w:color="000000" w:sz="4" w:space="0"/>
              <w:right w:val="single" w:color="auto" w:sz="4" w:space="0"/>
            </w:tcBorders>
            <w:noWrap w:val="0"/>
            <w:vAlign w:val="center"/>
          </w:tcPr>
          <w:p w14:paraId="7E1911DC">
            <w:pPr>
              <w:widowControl/>
              <w:rPr>
                <w:rFonts w:hint="eastAsia" w:ascii="宋体" w:hAnsi="宋体" w:cs="宋体"/>
                <w:kern w:val="0"/>
                <w:szCs w:val="21"/>
              </w:rPr>
            </w:pPr>
            <w:r>
              <w:rPr>
                <w:rFonts w:hint="eastAsia" w:ascii="宋体" w:hAnsi="宋体" w:cs="宋体"/>
                <w:kern w:val="0"/>
                <w:szCs w:val="21"/>
              </w:rPr>
              <w:t>加样系统：</w:t>
            </w:r>
          </w:p>
        </w:tc>
      </w:tr>
      <w:tr w14:paraId="2917E470">
        <w:tblPrEx>
          <w:tblCellMar>
            <w:top w:w="0" w:type="dxa"/>
            <w:left w:w="108" w:type="dxa"/>
            <w:bottom w:w="0" w:type="dxa"/>
            <w:right w:w="108" w:type="dxa"/>
          </w:tblCellMar>
        </w:tblPrEx>
        <w:trPr>
          <w:trHeight w:val="955"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41F49F7C">
            <w:pPr>
              <w:widowControl/>
              <w:rPr>
                <w:rFonts w:hint="eastAsia" w:ascii="宋体" w:hAnsi="宋体"/>
                <w:szCs w:val="21"/>
              </w:rPr>
            </w:pPr>
            <w:r>
              <w:rPr>
                <w:rFonts w:hint="eastAsia" w:ascii="微软雅黑" w:hAnsi="微软雅黑" w:eastAsia="微软雅黑" w:cs="微软雅黑"/>
                <w:b/>
                <w:bCs/>
                <w:color w:val="auto"/>
                <w:kern w:val="0"/>
                <w:sz w:val="28"/>
                <w:szCs w:val="28"/>
              </w:rPr>
              <w:t>★</w:t>
            </w:r>
            <w:r>
              <w:rPr>
                <w:rFonts w:ascii="宋体" w:hAnsi="宋体" w:cs="宋体"/>
                <w:kern w:val="0"/>
                <w:szCs w:val="21"/>
              </w:rPr>
              <w:t>6</w:t>
            </w:r>
            <w:r>
              <w:rPr>
                <w:rFonts w:hint="eastAsia" w:ascii="宋体" w:hAnsi="宋体" w:cs="宋体"/>
                <w:kern w:val="0"/>
                <w:szCs w:val="21"/>
              </w:rPr>
              <w:t>.1</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119AD870">
            <w:pPr>
              <w:widowControl/>
              <w:rPr>
                <w:rFonts w:hint="eastAsia" w:ascii="宋体" w:hAnsi="宋体" w:cs="宋体"/>
                <w:kern w:val="0"/>
                <w:szCs w:val="21"/>
              </w:rPr>
            </w:pPr>
            <w:r>
              <w:rPr>
                <w:rFonts w:hint="eastAsia" w:ascii="宋体" w:hAnsi="宋体" w:cs="宋体"/>
                <w:kern w:val="0"/>
                <w:szCs w:val="21"/>
              </w:rPr>
              <w:t>加样通道：</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11ACAEB1">
            <w:pPr>
              <w:widowControl/>
              <w:rPr>
                <w:rFonts w:hint="default" w:ascii="宋体" w:hAnsi="宋体" w:eastAsia="宋体"/>
                <w:color w:val="auto"/>
                <w:szCs w:val="21"/>
                <w:lang w:val="en-US" w:eastAsia="zh-CN"/>
              </w:rPr>
            </w:pPr>
            <w:r>
              <w:rPr>
                <w:rFonts w:hint="eastAsia" w:ascii="宋体" w:hAnsi="宋体"/>
                <w:color w:val="auto"/>
                <w:szCs w:val="21"/>
              </w:rPr>
              <w:t>≥2个加样通道，</w:t>
            </w:r>
            <w:r>
              <w:rPr>
                <w:rFonts w:hint="eastAsia" w:ascii="宋体" w:hAnsi="宋体" w:cs="宋体"/>
                <w:color w:val="auto"/>
                <w:kern w:val="0"/>
                <w:szCs w:val="21"/>
                <w:lang w:val="en-US" w:eastAsia="zh-CN"/>
              </w:rPr>
              <w:t>气体</w:t>
            </w:r>
            <w:r>
              <w:rPr>
                <w:rFonts w:hint="eastAsia" w:ascii="宋体" w:hAnsi="宋体"/>
                <w:color w:val="auto"/>
                <w:szCs w:val="21"/>
              </w:rPr>
              <w:t>置换加样原理</w:t>
            </w:r>
            <w:r>
              <w:rPr>
                <w:rFonts w:hint="eastAsia" w:ascii="宋体" w:hAnsi="宋体"/>
                <w:color w:val="auto"/>
                <w:szCs w:val="21"/>
                <w:lang w:val="en-US" w:eastAsia="zh-CN"/>
              </w:rPr>
              <w:t>或</w:t>
            </w:r>
            <w:r>
              <w:rPr>
                <w:rFonts w:hint="eastAsia" w:ascii="宋体" w:hAnsi="宋体"/>
                <w:color w:val="auto"/>
                <w:szCs w:val="21"/>
              </w:rPr>
              <w:t>液体置换加样原理。</w:t>
            </w:r>
            <w:r>
              <w:rPr>
                <w:rFonts w:hint="eastAsia" w:ascii="宋体" w:hAnsi="宋体"/>
                <w:color w:val="auto"/>
                <w:szCs w:val="21"/>
                <w:lang w:val="en-US" w:eastAsia="zh-CN"/>
              </w:rPr>
              <w:t>采用固定式的永久性</w:t>
            </w:r>
            <w:r>
              <w:rPr>
                <w:rFonts w:hint="eastAsia" w:ascii="宋体" w:hAnsi="宋体"/>
                <w:color w:val="auto"/>
                <w:szCs w:val="21"/>
              </w:rPr>
              <w:t>加样钢针，保证气密性及便于吸取红细胞样本。</w:t>
            </w:r>
            <w:r>
              <w:rPr>
                <w:rFonts w:hint="eastAsia" w:ascii="宋体" w:hAnsi="宋体" w:cs="宋体"/>
                <w:color w:val="auto"/>
                <w:kern w:val="0"/>
                <w:szCs w:val="21"/>
              </w:rPr>
              <w:t xml:space="preserve"> </w:t>
            </w:r>
          </w:p>
        </w:tc>
      </w:tr>
      <w:tr w14:paraId="3973EE4C">
        <w:tblPrEx>
          <w:tblCellMar>
            <w:top w:w="0" w:type="dxa"/>
            <w:left w:w="108" w:type="dxa"/>
            <w:bottom w:w="0" w:type="dxa"/>
            <w:right w:w="108" w:type="dxa"/>
          </w:tblCellMar>
        </w:tblPrEx>
        <w:trPr>
          <w:trHeight w:val="345"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64C1579E">
            <w:pPr>
              <w:widowControl/>
              <w:rPr>
                <w:rFonts w:hint="eastAsia" w:ascii="宋体" w:hAnsi="宋体" w:cs="宋体"/>
                <w:kern w:val="0"/>
                <w:szCs w:val="21"/>
              </w:rPr>
            </w:pPr>
            <w:r>
              <w:rPr>
                <w:rFonts w:ascii="宋体" w:hAnsi="宋体" w:cs="宋体"/>
                <w:kern w:val="0"/>
                <w:szCs w:val="21"/>
              </w:rPr>
              <w:t>6</w:t>
            </w:r>
            <w:r>
              <w:rPr>
                <w:rFonts w:hint="eastAsia" w:ascii="宋体" w:hAnsi="宋体" w:cs="宋体"/>
                <w:kern w:val="0"/>
                <w:szCs w:val="21"/>
              </w:rPr>
              <w:t>.2</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0FA63FEB">
            <w:pPr>
              <w:widowControl/>
              <w:rPr>
                <w:rFonts w:hint="eastAsia" w:ascii="宋体" w:hAnsi="宋体" w:cs="宋体"/>
                <w:kern w:val="0"/>
                <w:szCs w:val="21"/>
              </w:rPr>
            </w:pPr>
            <w:r>
              <w:rPr>
                <w:rFonts w:hint="eastAsia" w:ascii="宋体" w:hAnsi="宋体" w:cs="宋体"/>
                <w:kern w:val="0"/>
                <w:szCs w:val="21"/>
              </w:rPr>
              <w:t>液体探测：</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6846CFC3">
            <w:pPr>
              <w:widowControl/>
              <w:rPr>
                <w:rFonts w:hint="eastAsia" w:ascii="宋体" w:hAnsi="宋体" w:cs="宋体"/>
                <w:kern w:val="0"/>
                <w:szCs w:val="21"/>
              </w:rPr>
            </w:pPr>
            <w:r>
              <w:rPr>
                <w:rFonts w:hint="eastAsia"/>
                <w:szCs w:val="21"/>
              </w:rPr>
              <w:t>所有加样通道均</w:t>
            </w:r>
            <w:r>
              <w:rPr>
                <w:rFonts w:hint="eastAsia" w:ascii="宋体" w:hAnsi="宋体" w:cs="宋体"/>
                <w:kern w:val="0"/>
                <w:szCs w:val="21"/>
              </w:rPr>
              <w:t>具有液面探测和凝块检测及报警功能。</w:t>
            </w:r>
          </w:p>
        </w:tc>
      </w:tr>
      <w:tr w14:paraId="273B364A">
        <w:tblPrEx>
          <w:tblCellMar>
            <w:top w:w="0" w:type="dxa"/>
            <w:left w:w="108" w:type="dxa"/>
            <w:bottom w:w="0" w:type="dxa"/>
            <w:right w:w="108" w:type="dxa"/>
          </w:tblCellMar>
        </w:tblPrEx>
        <w:trPr>
          <w:trHeight w:val="1476"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51FF4964">
            <w:pPr>
              <w:widowControl/>
              <w:rPr>
                <w:rFonts w:hint="eastAsia" w:ascii="宋体" w:hAnsi="宋体" w:cs="宋体"/>
                <w:kern w:val="0"/>
                <w:szCs w:val="21"/>
              </w:rPr>
            </w:pPr>
            <w:r>
              <w:rPr>
                <w:rFonts w:ascii="宋体" w:hAnsi="宋体" w:cs="宋体"/>
                <w:kern w:val="0"/>
                <w:szCs w:val="21"/>
              </w:rPr>
              <w:t>6</w:t>
            </w:r>
            <w:r>
              <w:rPr>
                <w:rFonts w:hint="eastAsia" w:ascii="宋体" w:hAnsi="宋体" w:cs="宋体"/>
                <w:kern w:val="0"/>
                <w:szCs w:val="21"/>
              </w:rPr>
              <w:t>.3</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5219A00E">
            <w:pPr>
              <w:widowControl/>
              <w:rPr>
                <w:rFonts w:hint="eastAsia" w:ascii="宋体" w:hAnsi="宋体" w:cs="宋体"/>
                <w:kern w:val="0"/>
                <w:szCs w:val="21"/>
              </w:rPr>
            </w:pPr>
            <w:r>
              <w:rPr>
                <w:rFonts w:hint="eastAsia" w:ascii="宋体" w:hAnsi="宋体" w:cs="宋体"/>
                <w:kern w:val="0"/>
                <w:szCs w:val="21"/>
              </w:rPr>
              <w:t>加样精度：</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tbl>
            <w:tblPr>
              <w:tblStyle w:val="2"/>
              <w:tblW w:w="0" w:type="auto"/>
              <w:tblInd w:w="0" w:type="dxa"/>
              <w:tblLayout w:type="fixed"/>
              <w:tblCellMar>
                <w:top w:w="0" w:type="dxa"/>
                <w:left w:w="108" w:type="dxa"/>
                <w:bottom w:w="0" w:type="dxa"/>
                <w:right w:w="108" w:type="dxa"/>
              </w:tblCellMar>
            </w:tblPr>
            <w:tblGrid>
              <w:gridCol w:w="2085"/>
              <w:gridCol w:w="2085"/>
              <w:gridCol w:w="2085"/>
            </w:tblGrid>
            <w:tr w14:paraId="3102A75A">
              <w:tblPrEx>
                <w:tblCellMar>
                  <w:top w:w="0" w:type="dxa"/>
                  <w:left w:w="108" w:type="dxa"/>
                  <w:bottom w:w="0" w:type="dxa"/>
                  <w:right w:w="108" w:type="dxa"/>
                </w:tblCellMar>
              </w:tblPrEx>
              <w:trPr>
                <w:trHeight w:val="436" w:hRule="atLeast"/>
              </w:trPr>
              <w:tc>
                <w:tcPr>
                  <w:tcW w:w="2085" w:type="dxa"/>
                  <w:noWrap w:val="0"/>
                  <w:vAlign w:val="center"/>
                </w:tcPr>
                <w:p w14:paraId="5E67D013">
                  <w:pPr>
                    <w:jc w:val="center"/>
                    <w:rPr>
                      <w:rFonts w:hint="eastAsia" w:ascii="宋体" w:hAnsi="宋体"/>
                      <w:szCs w:val="21"/>
                    </w:rPr>
                  </w:pPr>
                  <w:r>
                    <w:rPr>
                      <w:rFonts w:hint="eastAsia" w:ascii="宋体" w:hAnsi="宋体"/>
                      <w:szCs w:val="21"/>
                    </w:rPr>
                    <w:t>加样量</w:t>
                  </w:r>
                </w:p>
              </w:tc>
              <w:tc>
                <w:tcPr>
                  <w:tcW w:w="2085" w:type="dxa"/>
                  <w:noWrap w:val="0"/>
                  <w:vAlign w:val="center"/>
                </w:tcPr>
                <w:p w14:paraId="600D1DB7">
                  <w:pPr>
                    <w:rPr>
                      <w:rFonts w:hint="eastAsia" w:ascii="宋体" w:hAnsi="宋体"/>
                      <w:szCs w:val="21"/>
                    </w:rPr>
                  </w:pPr>
                  <w:r>
                    <w:rPr>
                      <w:rFonts w:hint="eastAsia" w:ascii="宋体" w:hAnsi="宋体"/>
                      <w:szCs w:val="21"/>
                    </w:rPr>
                    <w:t>精确度（CV）</w:t>
                  </w:r>
                </w:p>
              </w:tc>
              <w:tc>
                <w:tcPr>
                  <w:tcW w:w="2085" w:type="dxa"/>
                  <w:noWrap w:val="0"/>
                  <w:vAlign w:val="center"/>
                </w:tcPr>
                <w:p w14:paraId="1E422F82">
                  <w:pPr>
                    <w:rPr>
                      <w:rFonts w:hint="eastAsia" w:ascii="宋体" w:hAnsi="宋体"/>
                      <w:szCs w:val="21"/>
                    </w:rPr>
                  </w:pPr>
                  <w:r>
                    <w:rPr>
                      <w:rFonts w:hint="eastAsia" w:ascii="宋体" w:hAnsi="宋体"/>
                      <w:szCs w:val="21"/>
                    </w:rPr>
                    <w:t>准确度</w:t>
                  </w:r>
                </w:p>
              </w:tc>
            </w:tr>
            <w:tr w14:paraId="5AC23389">
              <w:tblPrEx>
                <w:tblCellMar>
                  <w:top w:w="0" w:type="dxa"/>
                  <w:left w:w="108" w:type="dxa"/>
                  <w:bottom w:w="0" w:type="dxa"/>
                  <w:right w:w="108" w:type="dxa"/>
                </w:tblCellMar>
              </w:tblPrEx>
              <w:trPr>
                <w:trHeight w:val="324" w:hRule="atLeast"/>
              </w:trPr>
              <w:tc>
                <w:tcPr>
                  <w:tcW w:w="2085" w:type="dxa"/>
                  <w:noWrap w:val="0"/>
                  <w:vAlign w:val="center"/>
                </w:tcPr>
                <w:p w14:paraId="70FF7706">
                  <w:pPr>
                    <w:jc w:val="center"/>
                    <w:rPr>
                      <w:rFonts w:hint="eastAsia" w:ascii="宋体" w:hAnsi="宋体"/>
                      <w:szCs w:val="21"/>
                    </w:rPr>
                  </w:pPr>
                  <w:r>
                    <w:rPr>
                      <w:rFonts w:hint="eastAsia" w:ascii="宋体" w:hAnsi="宋体"/>
                      <w:szCs w:val="21"/>
                    </w:rPr>
                    <w:t>10ul</w:t>
                  </w:r>
                </w:p>
              </w:tc>
              <w:tc>
                <w:tcPr>
                  <w:tcW w:w="2085" w:type="dxa"/>
                  <w:noWrap w:val="0"/>
                  <w:vAlign w:val="center"/>
                </w:tcPr>
                <w:p w14:paraId="0967F8D8">
                  <w:pPr>
                    <w:ind w:firstLine="210" w:firstLineChars="100"/>
                    <w:rPr>
                      <w:rFonts w:hint="eastAsia" w:ascii="宋体" w:hAnsi="宋体"/>
                      <w:szCs w:val="21"/>
                    </w:rPr>
                  </w:pPr>
                  <w:r>
                    <w:rPr>
                      <w:rFonts w:hint="eastAsia" w:ascii="宋体" w:hAnsi="宋体"/>
                      <w:szCs w:val="21"/>
                    </w:rPr>
                    <w:t>≤3%</w:t>
                  </w:r>
                </w:p>
              </w:tc>
              <w:tc>
                <w:tcPr>
                  <w:tcW w:w="2085" w:type="dxa"/>
                  <w:noWrap w:val="0"/>
                  <w:vAlign w:val="center"/>
                </w:tcPr>
                <w:p w14:paraId="32E43E99">
                  <w:pPr>
                    <w:rPr>
                      <w:rFonts w:hint="eastAsia" w:ascii="宋体" w:hAnsi="宋体"/>
                      <w:szCs w:val="21"/>
                    </w:rPr>
                  </w:pPr>
                  <w:r>
                    <w:rPr>
                      <w:rFonts w:hint="eastAsia" w:ascii="宋体" w:hAnsi="宋体"/>
                      <w:szCs w:val="21"/>
                    </w:rPr>
                    <w:t>±5%</w:t>
                  </w:r>
                </w:p>
              </w:tc>
            </w:tr>
            <w:tr w14:paraId="16F6D5C7">
              <w:tblPrEx>
                <w:tblCellMar>
                  <w:top w:w="0" w:type="dxa"/>
                  <w:left w:w="108" w:type="dxa"/>
                  <w:bottom w:w="0" w:type="dxa"/>
                  <w:right w:w="108" w:type="dxa"/>
                </w:tblCellMar>
              </w:tblPrEx>
              <w:trPr>
                <w:trHeight w:val="272" w:hRule="atLeast"/>
              </w:trPr>
              <w:tc>
                <w:tcPr>
                  <w:tcW w:w="2085" w:type="dxa"/>
                  <w:noWrap w:val="0"/>
                  <w:vAlign w:val="center"/>
                </w:tcPr>
                <w:p w14:paraId="3979BE7D">
                  <w:pPr>
                    <w:jc w:val="center"/>
                    <w:rPr>
                      <w:rFonts w:hint="eastAsia" w:ascii="宋体" w:hAnsi="宋体"/>
                      <w:szCs w:val="21"/>
                    </w:rPr>
                  </w:pPr>
                  <w:r>
                    <w:rPr>
                      <w:rFonts w:hint="eastAsia" w:ascii="宋体" w:hAnsi="宋体"/>
                      <w:szCs w:val="21"/>
                    </w:rPr>
                    <w:t>50ul</w:t>
                  </w:r>
                </w:p>
              </w:tc>
              <w:tc>
                <w:tcPr>
                  <w:tcW w:w="2085" w:type="dxa"/>
                  <w:noWrap w:val="0"/>
                  <w:vAlign w:val="center"/>
                </w:tcPr>
                <w:p w14:paraId="7BD35410">
                  <w:pPr>
                    <w:ind w:firstLine="210" w:firstLineChars="100"/>
                    <w:rPr>
                      <w:rFonts w:hint="eastAsia" w:ascii="宋体" w:hAnsi="宋体"/>
                      <w:szCs w:val="21"/>
                    </w:rPr>
                  </w:pPr>
                  <w:r>
                    <w:rPr>
                      <w:rFonts w:hint="eastAsia" w:ascii="宋体" w:hAnsi="宋体"/>
                      <w:szCs w:val="21"/>
                    </w:rPr>
                    <w:t>≤2%</w:t>
                  </w:r>
                </w:p>
              </w:tc>
              <w:tc>
                <w:tcPr>
                  <w:tcW w:w="2085" w:type="dxa"/>
                  <w:noWrap w:val="0"/>
                  <w:vAlign w:val="center"/>
                </w:tcPr>
                <w:p w14:paraId="1334EA47">
                  <w:pPr>
                    <w:rPr>
                      <w:rFonts w:hint="eastAsia" w:ascii="宋体" w:hAnsi="宋体"/>
                      <w:szCs w:val="21"/>
                    </w:rPr>
                  </w:pPr>
                  <w:r>
                    <w:rPr>
                      <w:rFonts w:hint="eastAsia" w:ascii="宋体" w:hAnsi="宋体"/>
                      <w:szCs w:val="21"/>
                    </w:rPr>
                    <w:t>±2%</w:t>
                  </w:r>
                </w:p>
              </w:tc>
            </w:tr>
            <w:tr w14:paraId="54A2847C">
              <w:tblPrEx>
                <w:tblCellMar>
                  <w:top w:w="0" w:type="dxa"/>
                  <w:left w:w="108" w:type="dxa"/>
                  <w:bottom w:w="0" w:type="dxa"/>
                  <w:right w:w="108" w:type="dxa"/>
                </w:tblCellMar>
              </w:tblPrEx>
              <w:trPr>
                <w:trHeight w:val="80" w:hRule="atLeast"/>
              </w:trPr>
              <w:tc>
                <w:tcPr>
                  <w:tcW w:w="2085" w:type="dxa"/>
                  <w:noWrap w:val="0"/>
                  <w:vAlign w:val="center"/>
                </w:tcPr>
                <w:p w14:paraId="7B83FBE5">
                  <w:pPr>
                    <w:jc w:val="center"/>
                    <w:rPr>
                      <w:rFonts w:hint="eastAsia" w:ascii="宋体" w:hAnsi="宋体"/>
                      <w:szCs w:val="21"/>
                    </w:rPr>
                  </w:pPr>
                  <w:r>
                    <w:rPr>
                      <w:rFonts w:hint="eastAsia" w:ascii="宋体" w:hAnsi="宋体"/>
                      <w:szCs w:val="21"/>
                    </w:rPr>
                    <w:t>100ul</w:t>
                  </w:r>
                </w:p>
              </w:tc>
              <w:tc>
                <w:tcPr>
                  <w:tcW w:w="2085" w:type="dxa"/>
                  <w:noWrap w:val="0"/>
                  <w:vAlign w:val="center"/>
                </w:tcPr>
                <w:p w14:paraId="4BB5B58E">
                  <w:pPr>
                    <w:ind w:firstLine="210" w:firstLineChars="100"/>
                    <w:rPr>
                      <w:rFonts w:hint="eastAsia" w:ascii="宋体" w:hAnsi="宋体"/>
                      <w:szCs w:val="21"/>
                    </w:rPr>
                  </w:pPr>
                  <w:r>
                    <w:rPr>
                      <w:rFonts w:hint="eastAsia" w:ascii="宋体" w:hAnsi="宋体"/>
                      <w:szCs w:val="21"/>
                    </w:rPr>
                    <w:t>≤1%</w:t>
                  </w:r>
                </w:p>
              </w:tc>
              <w:tc>
                <w:tcPr>
                  <w:tcW w:w="2085" w:type="dxa"/>
                  <w:noWrap w:val="0"/>
                  <w:vAlign w:val="center"/>
                </w:tcPr>
                <w:p w14:paraId="631A18EB">
                  <w:pPr>
                    <w:rPr>
                      <w:rFonts w:hint="eastAsia" w:ascii="宋体" w:hAnsi="宋体"/>
                      <w:szCs w:val="21"/>
                    </w:rPr>
                  </w:pPr>
                  <w:r>
                    <w:rPr>
                      <w:rFonts w:hint="eastAsia" w:ascii="宋体" w:hAnsi="宋体"/>
                      <w:szCs w:val="21"/>
                    </w:rPr>
                    <w:t>±2%</w:t>
                  </w:r>
                </w:p>
              </w:tc>
            </w:tr>
          </w:tbl>
          <w:p w14:paraId="621FE1F1">
            <w:pPr>
              <w:ind w:left="220" w:leftChars="105" w:firstLine="2427" w:firstLineChars="1156"/>
              <w:jc w:val="center"/>
              <w:rPr>
                <w:rFonts w:hint="eastAsia"/>
                <w:szCs w:val="21"/>
              </w:rPr>
            </w:pPr>
          </w:p>
        </w:tc>
      </w:tr>
      <w:tr w14:paraId="3913E0C8">
        <w:tblPrEx>
          <w:tblCellMar>
            <w:top w:w="0" w:type="dxa"/>
            <w:left w:w="108" w:type="dxa"/>
            <w:bottom w:w="0" w:type="dxa"/>
            <w:right w:w="108" w:type="dxa"/>
          </w:tblCellMar>
        </w:tblPrEx>
        <w:trPr>
          <w:trHeight w:val="399"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52D097BD">
            <w:pPr>
              <w:widowControl/>
              <w:rPr>
                <w:rFonts w:hint="eastAsia" w:ascii="宋体" w:hAnsi="宋体" w:cs="宋体"/>
                <w:kern w:val="0"/>
                <w:szCs w:val="21"/>
              </w:rPr>
            </w:pPr>
            <w:r>
              <w:rPr>
                <w:rFonts w:ascii="宋体" w:hAnsi="宋体" w:cs="宋体"/>
                <w:kern w:val="0"/>
                <w:szCs w:val="21"/>
              </w:rPr>
              <w:t>7</w:t>
            </w:r>
            <w:r>
              <w:rPr>
                <w:rFonts w:hint="eastAsia" w:ascii="宋体" w:hAnsi="宋体" w:cs="宋体"/>
                <w:kern w:val="0"/>
                <w:szCs w:val="21"/>
              </w:rPr>
              <w:t>.</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0340440F">
            <w:pPr>
              <w:widowControl/>
              <w:rPr>
                <w:rFonts w:hint="eastAsia" w:ascii="宋体" w:hAnsi="宋体" w:cs="宋体"/>
                <w:kern w:val="0"/>
                <w:szCs w:val="21"/>
              </w:rPr>
            </w:pPr>
            <w:r>
              <w:rPr>
                <w:rFonts w:hint="eastAsia"/>
                <w:szCs w:val="21"/>
              </w:rPr>
              <w:t>机械抓手：</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1597BB3A">
            <w:pPr>
              <w:rPr>
                <w:rFonts w:hint="eastAsia"/>
                <w:szCs w:val="21"/>
              </w:rPr>
            </w:pPr>
            <w:r>
              <w:rPr>
                <w:rFonts w:hint="eastAsia"/>
                <w:szCs w:val="21"/>
              </w:rPr>
              <w:t>≥1个独立的抓手机械臂。</w:t>
            </w:r>
          </w:p>
        </w:tc>
      </w:tr>
      <w:tr w14:paraId="112DFB34">
        <w:tblPrEx>
          <w:tblCellMar>
            <w:top w:w="0" w:type="dxa"/>
            <w:left w:w="108" w:type="dxa"/>
            <w:bottom w:w="0" w:type="dxa"/>
            <w:right w:w="108" w:type="dxa"/>
          </w:tblCellMar>
        </w:tblPrEx>
        <w:trPr>
          <w:trHeight w:val="338"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0D82E0EC">
            <w:pPr>
              <w:widowControl/>
              <w:rPr>
                <w:rFonts w:hint="eastAsia" w:ascii="宋体" w:hAnsi="宋体" w:cs="宋体"/>
                <w:kern w:val="0"/>
                <w:szCs w:val="21"/>
              </w:rPr>
            </w:pPr>
            <w:r>
              <w:rPr>
                <w:rFonts w:ascii="宋体" w:hAnsi="宋体" w:cs="宋体"/>
                <w:kern w:val="0"/>
                <w:szCs w:val="21"/>
              </w:rPr>
              <w:t>8</w:t>
            </w:r>
            <w:r>
              <w:rPr>
                <w:rFonts w:hint="eastAsia" w:ascii="宋体" w:hAnsi="宋体" w:cs="宋体"/>
                <w:kern w:val="0"/>
                <w:szCs w:val="21"/>
              </w:rPr>
              <w:t>.</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6A646FCB">
            <w:pPr>
              <w:widowControl/>
              <w:rPr>
                <w:rFonts w:hint="eastAsia" w:ascii="宋体" w:hAnsi="宋体"/>
                <w:szCs w:val="21"/>
              </w:rPr>
            </w:pPr>
            <w:r>
              <w:rPr>
                <w:rFonts w:hint="eastAsia" w:ascii="宋体" w:hAnsi="宋体"/>
                <w:szCs w:val="21"/>
              </w:rPr>
              <w:t>标本位：</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27C1999A">
            <w:pPr>
              <w:rPr>
                <w:rFonts w:hint="eastAsia" w:ascii="宋体" w:hAnsi="宋体"/>
                <w:szCs w:val="21"/>
              </w:rPr>
            </w:pPr>
            <w:r>
              <w:rPr>
                <w:rFonts w:hint="eastAsia" w:ascii="宋体" w:hAnsi="宋体"/>
                <w:szCs w:val="21"/>
              </w:rPr>
              <w:t>≥96个，原始标本试管上机。</w:t>
            </w:r>
          </w:p>
        </w:tc>
      </w:tr>
      <w:tr w14:paraId="5686E428">
        <w:tblPrEx>
          <w:tblCellMar>
            <w:top w:w="0" w:type="dxa"/>
            <w:left w:w="108" w:type="dxa"/>
            <w:bottom w:w="0" w:type="dxa"/>
            <w:right w:w="108" w:type="dxa"/>
          </w:tblCellMar>
        </w:tblPrEx>
        <w:trPr>
          <w:trHeight w:val="540"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1259CCA3">
            <w:pPr>
              <w:widowControl/>
              <w:rPr>
                <w:rFonts w:hint="eastAsia" w:ascii="宋体" w:hAnsi="宋体" w:cs="宋体"/>
                <w:kern w:val="0"/>
                <w:szCs w:val="21"/>
              </w:rPr>
            </w:pPr>
            <w:r>
              <w:rPr>
                <w:rFonts w:ascii="宋体" w:hAnsi="宋体" w:cs="宋体"/>
                <w:kern w:val="0"/>
                <w:szCs w:val="21"/>
              </w:rPr>
              <w:t>9</w:t>
            </w:r>
            <w:r>
              <w:rPr>
                <w:rFonts w:hint="eastAsia" w:ascii="宋体" w:hAnsi="宋体" w:cs="宋体"/>
                <w:kern w:val="0"/>
                <w:szCs w:val="21"/>
              </w:rPr>
              <w:t>.</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7559D070">
            <w:pPr>
              <w:widowControl/>
              <w:rPr>
                <w:rFonts w:hint="eastAsia" w:ascii="宋体" w:hAnsi="宋体"/>
                <w:szCs w:val="21"/>
              </w:rPr>
            </w:pPr>
            <w:r>
              <w:rPr>
                <w:rFonts w:hint="eastAsia" w:ascii="宋体" w:hAnsi="宋体"/>
                <w:szCs w:val="21"/>
              </w:rPr>
              <w:t>标本稀释：</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334DE22E">
            <w:pPr>
              <w:rPr>
                <w:rFonts w:hint="eastAsia" w:ascii="宋体" w:hAnsi="宋体"/>
                <w:szCs w:val="21"/>
              </w:rPr>
            </w:pPr>
            <w:r>
              <w:rPr>
                <w:rFonts w:hint="eastAsia" w:ascii="宋体" w:hAnsi="宋体"/>
                <w:szCs w:val="21"/>
              </w:rPr>
              <w:t>使用96孔深孔板稀释标本。</w:t>
            </w:r>
          </w:p>
        </w:tc>
      </w:tr>
      <w:tr w14:paraId="1A6FBD47">
        <w:tblPrEx>
          <w:tblCellMar>
            <w:top w:w="0" w:type="dxa"/>
            <w:left w:w="108" w:type="dxa"/>
            <w:bottom w:w="0" w:type="dxa"/>
            <w:right w:w="108" w:type="dxa"/>
          </w:tblCellMar>
        </w:tblPrEx>
        <w:trPr>
          <w:trHeight w:val="461" w:hRule="atLeast"/>
        </w:trPr>
        <w:tc>
          <w:tcPr>
            <w:tcW w:w="1024" w:type="dxa"/>
            <w:tcBorders>
              <w:top w:val="single" w:color="000000" w:sz="4" w:space="0"/>
              <w:left w:val="single" w:color="000000" w:sz="4" w:space="0"/>
              <w:bottom w:val="single" w:color="000000" w:sz="4" w:space="0"/>
              <w:right w:val="single" w:color="auto" w:sz="4" w:space="0"/>
            </w:tcBorders>
            <w:noWrap w:val="0"/>
            <w:vAlign w:val="center"/>
          </w:tcPr>
          <w:p w14:paraId="6503914E">
            <w:pPr>
              <w:widowControl/>
              <w:rPr>
                <w:rFonts w:hint="eastAsia" w:ascii="宋体" w:hAnsi="宋体" w:cs="宋体"/>
                <w:kern w:val="0"/>
                <w:szCs w:val="21"/>
              </w:rPr>
            </w:pPr>
            <w:r>
              <w:rPr>
                <w:rFonts w:hint="eastAsia" w:ascii="宋体" w:hAnsi="宋体"/>
                <w:szCs w:val="21"/>
              </w:rPr>
              <w:t>1</w:t>
            </w:r>
            <w:r>
              <w:rPr>
                <w:rFonts w:ascii="宋体" w:hAnsi="宋体"/>
                <w:szCs w:val="21"/>
              </w:rPr>
              <w:t>0</w:t>
            </w:r>
            <w:r>
              <w:rPr>
                <w:rFonts w:hint="eastAsia" w:ascii="宋体" w:hAnsi="宋体"/>
                <w:szCs w:val="21"/>
              </w:rPr>
              <w:t>.</w:t>
            </w:r>
          </w:p>
        </w:tc>
        <w:tc>
          <w:tcPr>
            <w:tcW w:w="1388" w:type="dxa"/>
            <w:gridSpan w:val="2"/>
            <w:tcBorders>
              <w:top w:val="single" w:color="000000" w:sz="4" w:space="0"/>
              <w:left w:val="single" w:color="000000" w:sz="4" w:space="0"/>
              <w:bottom w:val="single" w:color="000000" w:sz="4" w:space="0"/>
              <w:right w:val="single" w:color="auto" w:sz="4" w:space="0"/>
            </w:tcBorders>
            <w:noWrap w:val="0"/>
            <w:vAlign w:val="center"/>
          </w:tcPr>
          <w:p w14:paraId="400F55DF">
            <w:pPr>
              <w:widowControl/>
              <w:rPr>
                <w:rFonts w:hint="eastAsia" w:ascii="宋体" w:hAnsi="宋体"/>
                <w:szCs w:val="21"/>
              </w:rPr>
            </w:pPr>
            <w:r>
              <w:rPr>
                <w:rFonts w:hint="eastAsia" w:ascii="宋体" w:hAnsi="宋体"/>
                <w:szCs w:val="21"/>
              </w:rPr>
              <w:t>新卡位：</w:t>
            </w:r>
          </w:p>
        </w:tc>
        <w:tc>
          <w:tcPr>
            <w:tcW w:w="7359" w:type="dxa"/>
            <w:gridSpan w:val="2"/>
            <w:tcBorders>
              <w:top w:val="single" w:color="000000" w:sz="4" w:space="0"/>
              <w:left w:val="single" w:color="auto" w:sz="4" w:space="0"/>
              <w:bottom w:val="single" w:color="000000" w:sz="4" w:space="0"/>
              <w:right w:val="single" w:color="000000" w:sz="4" w:space="0"/>
            </w:tcBorders>
            <w:noWrap w:val="0"/>
            <w:vAlign w:val="center"/>
          </w:tcPr>
          <w:p w14:paraId="57D914B6">
            <w:pPr>
              <w:rPr>
                <w:rFonts w:hint="eastAsia" w:ascii="宋体" w:hAnsi="宋体" w:eastAsia="宋体"/>
                <w:color w:val="000000"/>
                <w:szCs w:val="21"/>
                <w:lang w:eastAsia="zh-CN"/>
              </w:rPr>
            </w:pPr>
            <w:r>
              <w:rPr>
                <w:rFonts w:hint="eastAsia" w:ascii="宋体" w:hAnsi="宋体"/>
                <w:szCs w:val="21"/>
              </w:rPr>
              <w:t>可一次性放置待检新卡≥48张。</w:t>
            </w:r>
          </w:p>
        </w:tc>
      </w:tr>
      <w:tr w14:paraId="2A963ED2">
        <w:tblPrEx>
          <w:tblCellMar>
            <w:top w:w="0" w:type="dxa"/>
            <w:left w:w="108" w:type="dxa"/>
            <w:bottom w:w="0" w:type="dxa"/>
            <w:right w:w="108" w:type="dxa"/>
          </w:tblCellMar>
        </w:tblPrEx>
        <w:trPr>
          <w:trHeight w:val="345" w:hRule="atLeast"/>
        </w:trPr>
        <w:tc>
          <w:tcPr>
            <w:tcW w:w="1024" w:type="dxa"/>
            <w:tcBorders>
              <w:top w:val="nil"/>
              <w:left w:val="single" w:color="000000" w:sz="4" w:space="0"/>
              <w:bottom w:val="single" w:color="000000" w:sz="4" w:space="0"/>
              <w:right w:val="single" w:color="000000" w:sz="4" w:space="0"/>
            </w:tcBorders>
            <w:noWrap w:val="0"/>
            <w:vAlign w:val="center"/>
          </w:tcPr>
          <w:p w14:paraId="6DC1DE1B">
            <w:pPr>
              <w:widowControl/>
              <w:rPr>
                <w:rFonts w:hint="eastAsia" w:ascii="宋体" w:hAnsi="宋体"/>
                <w:szCs w:val="21"/>
              </w:rPr>
            </w:pPr>
            <w:r>
              <w:rPr>
                <w:rFonts w:hint="eastAsia" w:ascii="微软雅黑" w:hAnsi="微软雅黑" w:eastAsia="微软雅黑" w:cs="微软雅黑"/>
                <w:b/>
                <w:bCs/>
                <w:color w:val="auto"/>
                <w:kern w:val="0"/>
                <w:sz w:val="28"/>
                <w:szCs w:val="28"/>
              </w:rPr>
              <w:t>★</w:t>
            </w:r>
            <w:r>
              <w:rPr>
                <w:rFonts w:hint="eastAsia" w:ascii="宋体" w:hAnsi="宋体"/>
                <w:szCs w:val="21"/>
              </w:rPr>
              <w:t>1</w:t>
            </w:r>
            <w:r>
              <w:rPr>
                <w:rFonts w:ascii="宋体" w:hAnsi="宋体"/>
                <w:szCs w:val="21"/>
              </w:rPr>
              <w:t>1</w:t>
            </w:r>
            <w:r>
              <w:rPr>
                <w:rFonts w:hint="eastAsia" w:ascii="宋体" w:hAnsi="宋体"/>
                <w:szCs w:val="21"/>
              </w:rPr>
              <w:t>.</w:t>
            </w:r>
          </w:p>
        </w:tc>
        <w:tc>
          <w:tcPr>
            <w:tcW w:w="1395" w:type="dxa"/>
            <w:gridSpan w:val="3"/>
            <w:tcBorders>
              <w:top w:val="nil"/>
              <w:left w:val="single" w:color="000000" w:sz="4" w:space="0"/>
              <w:bottom w:val="single" w:color="000000" w:sz="4" w:space="0"/>
              <w:right w:val="single" w:color="auto" w:sz="4" w:space="0"/>
            </w:tcBorders>
            <w:noWrap w:val="0"/>
            <w:vAlign w:val="center"/>
          </w:tcPr>
          <w:p w14:paraId="4F875AF1">
            <w:pPr>
              <w:widowControl/>
              <w:rPr>
                <w:rFonts w:ascii="宋体" w:hAnsi="宋体"/>
                <w:szCs w:val="21"/>
              </w:rPr>
            </w:pPr>
            <w:r>
              <w:rPr>
                <w:rFonts w:hint="eastAsia" w:ascii="宋体" w:hAnsi="宋体"/>
                <w:szCs w:val="21"/>
              </w:rPr>
              <w:t>试剂位：</w:t>
            </w:r>
          </w:p>
        </w:tc>
        <w:tc>
          <w:tcPr>
            <w:tcW w:w="7352" w:type="dxa"/>
            <w:tcBorders>
              <w:top w:val="nil"/>
              <w:left w:val="single" w:color="000000" w:sz="4" w:space="0"/>
              <w:bottom w:val="single" w:color="000000" w:sz="4" w:space="0"/>
              <w:right w:val="single" w:color="auto" w:sz="4" w:space="0"/>
            </w:tcBorders>
            <w:noWrap w:val="0"/>
            <w:vAlign w:val="center"/>
          </w:tcPr>
          <w:p w14:paraId="51DF9AC4">
            <w:pPr>
              <w:rPr>
                <w:rFonts w:hint="eastAsia" w:ascii="宋体" w:hAnsi="宋体" w:eastAsia="宋体"/>
                <w:szCs w:val="21"/>
                <w:lang w:val="en-US" w:eastAsia="zh-CN"/>
              </w:rPr>
            </w:pPr>
            <w:r>
              <w:rPr>
                <w:rFonts w:hint="eastAsia" w:ascii="宋体" w:hAnsi="宋体"/>
                <w:szCs w:val="21"/>
              </w:rPr>
              <w:t>≥10个血型试剂位，采用回转式自动混匀</w:t>
            </w:r>
            <w:r>
              <w:rPr>
                <w:rFonts w:hint="eastAsia" w:ascii="宋体" w:hAnsi="宋体"/>
                <w:szCs w:val="21"/>
                <w:lang w:eastAsia="zh-CN"/>
              </w:rPr>
              <w:t>。</w:t>
            </w:r>
          </w:p>
        </w:tc>
      </w:tr>
      <w:tr w14:paraId="64EE3C99">
        <w:tblPrEx>
          <w:tblCellMar>
            <w:top w:w="0" w:type="dxa"/>
            <w:left w:w="108" w:type="dxa"/>
            <w:bottom w:w="0" w:type="dxa"/>
            <w:right w:w="108" w:type="dxa"/>
          </w:tblCellMar>
        </w:tblPrEx>
        <w:trPr>
          <w:trHeight w:val="657" w:hRule="atLeast"/>
        </w:trPr>
        <w:tc>
          <w:tcPr>
            <w:tcW w:w="1024" w:type="dxa"/>
            <w:tcBorders>
              <w:top w:val="nil"/>
              <w:left w:val="single" w:color="000000" w:sz="4" w:space="0"/>
              <w:bottom w:val="single" w:color="000000" w:sz="4" w:space="0"/>
              <w:right w:val="single" w:color="000000" w:sz="4" w:space="0"/>
            </w:tcBorders>
            <w:noWrap w:val="0"/>
            <w:vAlign w:val="center"/>
          </w:tcPr>
          <w:p w14:paraId="414F8F50">
            <w:pPr>
              <w:widowControl/>
              <w:rPr>
                <w:rFonts w:hint="eastAsia" w:ascii="宋体" w:hAnsi="宋体"/>
                <w:szCs w:val="21"/>
              </w:rPr>
            </w:pPr>
            <w:r>
              <w:rPr>
                <w:rFonts w:hint="eastAsia" w:ascii="宋体" w:hAnsi="宋体" w:eastAsia="宋体" w:cs="宋体"/>
                <w:b/>
                <w:bCs/>
                <w:color w:val="auto"/>
                <w:kern w:val="0"/>
                <w:sz w:val="28"/>
                <w:szCs w:val="28"/>
              </w:rPr>
              <w:t>▲</w:t>
            </w:r>
            <w:r>
              <w:rPr>
                <w:rFonts w:hint="eastAsia" w:ascii="宋体" w:hAnsi="宋体"/>
                <w:szCs w:val="21"/>
              </w:rPr>
              <w:t>1</w:t>
            </w:r>
            <w:r>
              <w:rPr>
                <w:rFonts w:ascii="宋体" w:hAnsi="宋体"/>
                <w:szCs w:val="21"/>
              </w:rPr>
              <w:t>2</w:t>
            </w:r>
            <w:r>
              <w:rPr>
                <w:rFonts w:hint="eastAsia" w:ascii="宋体" w:hAnsi="宋体"/>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6A39C39B">
            <w:pPr>
              <w:widowControl/>
              <w:rPr>
                <w:rFonts w:hint="eastAsia" w:ascii="宋体" w:hAnsi="宋体"/>
                <w:szCs w:val="21"/>
              </w:rPr>
            </w:pPr>
            <w:r>
              <w:rPr>
                <w:rFonts w:hint="eastAsia" w:ascii="宋体" w:hAnsi="宋体"/>
                <w:szCs w:val="21"/>
              </w:rPr>
              <w:t>孵育器：</w:t>
            </w:r>
          </w:p>
        </w:tc>
        <w:tc>
          <w:tcPr>
            <w:tcW w:w="7359" w:type="dxa"/>
            <w:gridSpan w:val="2"/>
            <w:tcBorders>
              <w:top w:val="nil"/>
              <w:left w:val="nil"/>
              <w:bottom w:val="single" w:color="000000" w:sz="4" w:space="0"/>
              <w:right w:val="single" w:color="000000" w:sz="4" w:space="0"/>
            </w:tcBorders>
            <w:noWrap w:val="0"/>
            <w:vAlign w:val="center"/>
          </w:tcPr>
          <w:p w14:paraId="11FE57BB">
            <w:pPr>
              <w:rPr>
                <w:rFonts w:hint="eastAsia" w:ascii="宋体" w:hAnsi="宋体" w:eastAsia="宋体"/>
                <w:szCs w:val="21"/>
                <w:lang w:eastAsia="zh-CN"/>
              </w:rPr>
            </w:pPr>
            <w:r>
              <w:rPr>
                <w:rFonts w:hint="eastAsia" w:ascii="宋体" w:hAnsi="宋体"/>
                <w:szCs w:val="21"/>
              </w:rPr>
              <w:t>≥</w:t>
            </w:r>
            <w:r>
              <w:rPr>
                <w:rFonts w:hint="eastAsia" w:ascii="宋体" w:hAnsi="宋体"/>
                <w:szCs w:val="21"/>
                <w:lang w:val="en-US" w:eastAsia="zh-CN"/>
              </w:rPr>
              <w:t>12</w:t>
            </w:r>
            <w:r>
              <w:rPr>
                <w:rFonts w:hint="eastAsia" w:ascii="宋体" w:hAnsi="宋体"/>
                <w:szCs w:val="21"/>
              </w:rPr>
              <w:t>卡位孵育器，37℃恒温；孵育区域工作时全部密封。孵育器与离心机须为2个独立的模块，不可共用在同一模块上。</w:t>
            </w:r>
          </w:p>
        </w:tc>
      </w:tr>
      <w:tr w14:paraId="52D818FA">
        <w:tblPrEx>
          <w:tblCellMar>
            <w:top w:w="0" w:type="dxa"/>
            <w:left w:w="108" w:type="dxa"/>
            <w:bottom w:w="0" w:type="dxa"/>
            <w:right w:w="108" w:type="dxa"/>
          </w:tblCellMar>
        </w:tblPrEx>
        <w:trPr>
          <w:trHeight w:val="345" w:hRule="atLeast"/>
        </w:trPr>
        <w:tc>
          <w:tcPr>
            <w:tcW w:w="1024" w:type="dxa"/>
            <w:tcBorders>
              <w:top w:val="nil"/>
              <w:left w:val="single" w:color="000000" w:sz="4" w:space="0"/>
              <w:bottom w:val="single" w:color="000000" w:sz="4" w:space="0"/>
              <w:right w:val="single" w:color="000000" w:sz="4" w:space="0"/>
            </w:tcBorders>
            <w:noWrap w:val="0"/>
            <w:vAlign w:val="center"/>
          </w:tcPr>
          <w:p w14:paraId="17470A78">
            <w:pPr>
              <w:widowControl/>
              <w:rPr>
                <w:rFonts w:hint="eastAsia" w:ascii="宋体" w:hAnsi="宋体"/>
                <w:szCs w:val="21"/>
              </w:rPr>
            </w:pPr>
            <w:r>
              <w:rPr>
                <w:rFonts w:hint="eastAsia" w:ascii="微软雅黑" w:hAnsi="微软雅黑" w:eastAsia="微软雅黑" w:cs="微软雅黑"/>
                <w:b/>
                <w:bCs/>
                <w:color w:val="auto"/>
                <w:kern w:val="0"/>
                <w:sz w:val="28"/>
                <w:szCs w:val="28"/>
              </w:rPr>
              <w:t>★</w:t>
            </w:r>
            <w:r>
              <w:rPr>
                <w:rFonts w:ascii="宋体" w:hAnsi="宋体"/>
                <w:szCs w:val="21"/>
              </w:rPr>
              <w:t>13</w:t>
            </w:r>
            <w:r>
              <w:rPr>
                <w:rFonts w:hint="eastAsia" w:ascii="宋体" w:hAnsi="宋体"/>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39A0E902">
            <w:pPr>
              <w:widowControl/>
              <w:rPr>
                <w:rFonts w:hint="eastAsia" w:ascii="宋体" w:hAnsi="宋体"/>
                <w:szCs w:val="21"/>
              </w:rPr>
            </w:pPr>
            <w:r>
              <w:rPr>
                <w:rFonts w:hint="eastAsia" w:ascii="宋体" w:hAnsi="宋体"/>
                <w:szCs w:val="21"/>
              </w:rPr>
              <w:t xml:space="preserve">离心机： </w:t>
            </w:r>
          </w:p>
        </w:tc>
        <w:tc>
          <w:tcPr>
            <w:tcW w:w="7359" w:type="dxa"/>
            <w:gridSpan w:val="2"/>
            <w:tcBorders>
              <w:top w:val="nil"/>
              <w:left w:val="nil"/>
              <w:bottom w:val="single" w:color="000000" w:sz="4" w:space="0"/>
              <w:right w:val="single" w:color="000000" w:sz="4" w:space="0"/>
            </w:tcBorders>
            <w:noWrap w:val="0"/>
            <w:vAlign w:val="center"/>
          </w:tcPr>
          <w:p w14:paraId="1B4855FA">
            <w:pPr>
              <w:rPr>
                <w:rFonts w:hint="default" w:ascii="宋体" w:hAnsi="宋体" w:eastAsia="宋体"/>
                <w:szCs w:val="21"/>
                <w:lang w:val="en-US" w:eastAsia="zh-CN"/>
              </w:rPr>
            </w:pPr>
            <w:r>
              <w:rPr>
                <w:rFonts w:hint="eastAsia" w:ascii="宋体" w:hAnsi="宋体"/>
                <w:szCs w:val="21"/>
              </w:rPr>
              <w:t>离心机卡位≥2</w:t>
            </w:r>
            <w:r>
              <w:rPr>
                <w:rFonts w:ascii="宋体" w:hAnsi="宋体"/>
                <w:szCs w:val="21"/>
              </w:rPr>
              <w:t>4</w:t>
            </w:r>
            <w:r>
              <w:rPr>
                <w:rFonts w:hint="eastAsia" w:ascii="宋体" w:hAnsi="宋体"/>
                <w:szCs w:val="21"/>
              </w:rPr>
              <w:t>卡位，转速：0～2000r/min。</w:t>
            </w:r>
          </w:p>
        </w:tc>
      </w:tr>
      <w:tr w14:paraId="10F05F91">
        <w:tblPrEx>
          <w:tblCellMar>
            <w:top w:w="0" w:type="dxa"/>
            <w:left w:w="108" w:type="dxa"/>
            <w:bottom w:w="0" w:type="dxa"/>
            <w:right w:w="108" w:type="dxa"/>
          </w:tblCellMar>
        </w:tblPrEx>
        <w:trPr>
          <w:trHeight w:val="657" w:hRule="atLeast"/>
        </w:trPr>
        <w:tc>
          <w:tcPr>
            <w:tcW w:w="1024" w:type="dxa"/>
            <w:tcBorders>
              <w:top w:val="nil"/>
              <w:left w:val="single" w:color="000000" w:sz="4" w:space="0"/>
              <w:bottom w:val="single" w:color="000000" w:sz="4" w:space="0"/>
              <w:right w:val="single" w:color="000000" w:sz="4" w:space="0"/>
            </w:tcBorders>
            <w:noWrap w:val="0"/>
            <w:vAlign w:val="center"/>
          </w:tcPr>
          <w:p w14:paraId="619B3DAC">
            <w:pPr>
              <w:widowControl/>
              <w:rPr>
                <w:rFonts w:hint="eastAsia" w:ascii="宋体" w:hAnsi="宋体"/>
                <w:szCs w:val="21"/>
              </w:rPr>
            </w:pPr>
            <w:r>
              <w:rPr>
                <w:rFonts w:hint="eastAsia" w:ascii="宋体" w:hAnsi="宋体"/>
                <w:szCs w:val="21"/>
              </w:rPr>
              <w:t>1</w:t>
            </w:r>
            <w:r>
              <w:rPr>
                <w:rFonts w:ascii="宋体" w:hAnsi="宋体"/>
                <w:szCs w:val="21"/>
              </w:rPr>
              <w:t>4</w:t>
            </w:r>
            <w:r>
              <w:rPr>
                <w:rFonts w:hint="eastAsia" w:ascii="宋体" w:hAnsi="宋体"/>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529A440B">
            <w:pPr>
              <w:widowControl/>
              <w:rPr>
                <w:rFonts w:hint="eastAsia"/>
                <w:szCs w:val="21"/>
              </w:rPr>
            </w:pPr>
            <w:r>
              <w:rPr>
                <w:rFonts w:hint="eastAsia"/>
                <w:szCs w:val="21"/>
              </w:rPr>
              <w:t>判读系统：</w:t>
            </w:r>
          </w:p>
        </w:tc>
        <w:tc>
          <w:tcPr>
            <w:tcW w:w="7359" w:type="dxa"/>
            <w:gridSpan w:val="2"/>
            <w:tcBorders>
              <w:top w:val="nil"/>
              <w:left w:val="nil"/>
              <w:bottom w:val="single" w:color="000000" w:sz="4" w:space="0"/>
              <w:right w:val="single" w:color="000000" w:sz="4" w:space="0"/>
            </w:tcBorders>
            <w:noWrap w:val="0"/>
            <w:vAlign w:val="center"/>
          </w:tcPr>
          <w:p w14:paraId="6B621D43">
            <w:pPr>
              <w:rPr>
                <w:rFonts w:hint="default" w:eastAsia="宋体"/>
                <w:szCs w:val="21"/>
                <w:lang w:val="en-US" w:eastAsia="zh-CN"/>
              </w:rPr>
            </w:pPr>
            <w:r>
              <w:rPr>
                <w:rFonts w:hint="eastAsia"/>
                <w:szCs w:val="21"/>
              </w:rPr>
              <w:t>高分辨率彩色CCD成像判读</w:t>
            </w:r>
            <w:r>
              <w:rPr>
                <w:rFonts w:hint="eastAsia"/>
                <w:szCs w:val="21"/>
                <w:lang w:eastAsia="zh-CN"/>
              </w:rPr>
              <w:t>或者</w:t>
            </w:r>
            <w:r>
              <w:rPr>
                <w:rFonts w:hint="eastAsia"/>
                <w:szCs w:val="21"/>
                <w:lang w:val="en-US" w:eastAsia="zh-CN"/>
              </w:rPr>
              <w:t>CMOS成像判读</w:t>
            </w:r>
            <w:r>
              <w:rPr>
                <w:rFonts w:hint="eastAsia"/>
                <w:color w:val="auto"/>
                <w:szCs w:val="21"/>
                <w:lang w:val="en-US" w:eastAsia="zh-CN"/>
              </w:rPr>
              <w:t>，</w:t>
            </w:r>
            <w:r>
              <w:rPr>
                <w:rFonts w:hint="eastAsia"/>
                <w:szCs w:val="21"/>
              </w:rPr>
              <w:t>图片真实、直观，原始图像可永久保存。</w:t>
            </w:r>
          </w:p>
        </w:tc>
      </w:tr>
      <w:tr w14:paraId="7B31F5B7">
        <w:tblPrEx>
          <w:tblCellMar>
            <w:top w:w="0" w:type="dxa"/>
            <w:left w:w="108" w:type="dxa"/>
            <w:bottom w:w="0" w:type="dxa"/>
            <w:right w:w="108" w:type="dxa"/>
          </w:tblCellMar>
        </w:tblPrEx>
        <w:trPr>
          <w:trHeight w:val="345" w:hRule="atLeast"/>
        </w:trPr>
        <w:tc>
          <w:tcPr>
            <w:tcW w:w="1024" w:type="dxa"/>
            <w:tcBorders>
              <w:top w:val="nil"/>
              <w:left w:val="single" w:color="000000" w:sz="4" w:space="0"/>
              <w:bottom w:val="single" w:color="000000" w:sz="4" w:space="0"/>
              <w:right w:val="single" w:color="000000" w:sz="4" w:space="0"/>
            </w:tcBorders>
            <w:noWrap w:val="0"/>
            <w:vAlign w:val="center"/>
          </w:tcPr>
          <w:p w14:paraId="75C0B77F">
            <w:pPr>
              <w:widowControl/>
              <w:rPr>
                <w:rFonts w:hint="eastAsia" w:ascii="宋体" w:hAnsi="宋体" w:cs="宋体"/>
                <w:kern w:val="0"/>
                <w:szCs w:val="21"/>
              </w:rPr>
            </w:pPr>
            <w:r>
              <w:rPr>
                <w:rFonts w:hint="eastAsia" w:ascii="宋体" w:hAnsi="宋体" w:cs="宋体"/>
                <w:kern w:val="0"/>
                <w:szCs w:val="21"/>
              </w:rPr>
              <w:t>1</w:t>
            </w:r>
            <w:r>
              <w:rPr>
                <w:rFonts w:ascii="宋体" w:hAnsi="宋体" w:cs="宋体"/>
                <w:kern w:val="0"/>
                <w:szCs w:val="21"/>
              </w:rPr>
              <w:t>5</w:t>
            </w:r>
            <w:r>
              <w:rPr>
                <w:rFonts w:hint="eastAsia" w:ascii="宋体" w:hAnsi="宋体" w:cs="宋体"/>
                <w:kern w:val="0"/>
                <w:szCs w:val="21"/>
              </w:rPr>
              <w:t>.</w:t>
            </w:r>
          </w:p>
        </w:tc>
        <w:tc>
          <w:tcPr>
            <w:tcW w:w="8747" w:type="dxa"/>
            <w:gridSpan w:val="4"/>
            <w:tcBorders>
              <w:top w:val="nil"/>
              <w:left w:val="single" w:color="000000" w:sz="4" w:space="0"/>
              <w:bottom w:val="single" w:color="000000" w:sz="4" w:space="0"/>
              <w:right w:val="single" w:color="000000" w:sz="4" w:space="0"/>
            </w:tcBorders>
            <w:noWrap w:val="0"/>
            <w:vAlign w:val="center"/>
          </w:tcPr>
          <w:p w14:paraId="0192A4BA">
            <w:pPr>
              <w:rPr>
                <w:rFonts w:hint="eastAsia" w:ascii="宋体" w:hAnsi="宋体"/>
                <w:szCs w:val="21"/>
              </w:rPr>
            </w:pPr>
            <w:r>
              <w:rPr>
                <w:rFonts w:hint="eastAsia" w:ascii="宋体" w:hAnsi="宋体"/>
                <w:szCs w:val="21"/>
              </w:rPr>
              <w:t>条码扫描系统</w:t>
            </w:r>
          </w:p>
        </w:tc>
      </w:tr>
      <w:tr w14:paraId="3ADDE913">
        <w:tblPrEx>
          <w:tblCellMar>
            <w:top w:w="0" w:type="dxa"/>
            <w:left w:w="108" w:type="dxa"/>
            <w:bottom w:w="0" w:type="dxa"/>
            <w:right w:w="108" w:type="dxa"/>
          </w:tblCellMar>
        </w:tblPrEx>
        <w:trPr>
          <w:trHeight w:val="657" w:hRule="atLeast"/>
        </w:trPr>
        <w:tc>
          <w:tcPr>
            <w:tcW w:w="1024" w:type="dxa"/>
            <w:tcBorders>
              <w:top w:val="nil"/>
              <w:left w:val="single" w:color="000000" w:sz="4" w:space="0"/>
              <w:bottom w:val="single" w:color="000000" w:sz="4" w:space="0"/>
              <w:right w:val="single" w:color="000000" w:sz="4" w:space="0"/>
            </w:tcBorders>
            <w:noWrap w:val="0"/>
            <w:vAlign w:val="center"/>
          </w:tcPr>
          <w:p w14:paraId="1B0F1C20">
            <w:pPr>
              <w:widowControl/>
              <w:rPr>
                <w:rFonts w:hint="eastAsia" w:ascii="宋体" w:hAnsi="宋体" w:cs="宋体"/>
                <w:kern w:val="0"/>
                <w:szCs w:val="21"/>
              </w:rPr>
            </w:pPr>
            <w:r>
              <w:rPr>
                <w:rFonts w:hint="eastAsia" w:ascii="宋体" w:hAnsi="宋体" w:cs="宋体"/>
                <w:kern w:val="0"/>
                <w:szCs w:val="21"/>
              </w:rPr>
              <w:t>15.1</w:t>
            </w:r>
          </w:p>
        </w:tc>
        <w:tc>
          <w:tcPr>
            <w:tcW w:w="1388" w:type="dxa"/>
            <w:gridSpan w:val="2"/>
            <w:tcBorders>
              <w:top w:val="nil"/>
              <w:left w:val="single" w:color="000000" w:sz="4" w:space="0"/>
              <w:bottom w:val="single" w:color="000000" w:sz="4" w:space="0"/>
              <w:right w:val="single" w:color="000000" w:sz="4" w:space="0"/>
            </w:tcBorders>
            <w:noWrap w:val="0"/>
            <w:vAlign w:val="center"/>
          </w:tcPr>
          <w:p w14:paraId="2491E305">
            <w:pPr>
              <w:widowControl/>
              <w:rPr>
                <w:rFonts w:hint="eastAsia" w:ascii="宋体" w:hAnsi="宋体" w:cs="宋体"/>
                <w:kern w:val="0"/>
                <w:szCs w:val="21"/>
              </w:rPr>
            </w:pPr>
            <w:r>
              <w:rPr>
                <w:rFonts w:hint="eastAsia" w:ascii="宋体" w:hAnsi="宋体"/>
                <w:szCs w:val="21"/>
              </w:rPr>
              <w:t>标本条码扫描：</w:t>
            </w:r>
          </w:p>
        </w:tc>
        <w:tc>
          <w:tcPr>
            <w:tcW w:w="7359" w:type="dxa"/>
            <w:gridSpan w:val="2"/>
            <w:tcBorders>
              <w:top w:val="nil"/>
              <w:left w:val="nil"/>
              <w:bottom w:val="single" w:color="000000" w:sz="4" w:space="0"/>
              <w:right w:val="single" w:color="000000" w:sz="4" w:space="0"/>
            </w:tcBorders>
            <w:noWrap w:val="0"/>
            <w:vAlign w:val="center"/>
          </w:tcPr>
          <w:p w14:paraId="7BCFB8C3">
            <w:pPr>
              <w:rPr>
                <w:rFonts w:hint="eastAsia" w:ascii="宋体" w:hAnsi="宋体"/>
                <w:szCs w:val="21"/>
              </w:rPr>
            </w:pPr>
            <w:r>
              <w:rPr>
                <w:rFonts w:hint="eastAsia"/>
                <w:szCs w:val="21"/>
              </w:rPr>
              <w:t>标本条码扫描仪≥1个，</w:t>
            </w:r>
            <w:r>
              <w:rPr>
                <w:rFonts w:hint="eastAsia" w:ascii="宋体" w:hAnsi="宋体"/>
                <w:szCs w:val="21"/>
              </w:rPr>
              <w:t>在装载标本时自动扫描标本条码，不可使用手持式条码扫描枪。</w:t>
            </w:r>
          </w:p>
        </w:tc>
      </w:tr>
      <w:tr w14:paraId="5D5BB2E3">
        <w:tblPrEx>
          <w:tblCellMar>
            <w:top w:w="0" w:type="dxa"/>
            <w:left w:w="108" w:type="dxa"/>
            <w:bottom w:w="0" w:type="dxa"/>
            <w:right w:w="108" w:type="dxa"/>
          </w:tblCellMar>
        </w:tblPrEx>
        <w:trPr>
          <w:trHeight w:val="955" w:hRule="atLeast"/>
        </w:trPr>
        <w:tc>
          <w:tcPr>
            <w:tcW w:w="1024" w:type="dxa"/>
            <w:tcBorders>
              <w:top w:val="nil"/>
              <w:left w:val="single" w:color="000000" w:sz="4" w:space="0"/>
              <w:bottom w:val="single" w:color="000000" w:sz="4" w:space="0"/>
              <w:right w:val="single" w:color="000000" w:sz="4" w:space="0"/>
            </w:tcBorders>
            <w:noWrap w:val="0"/>
            <w:vAlign w:val="center"/>
          </w:tcPr>
          <w:p w14:paraId="0706DAA8">
            <w:pPr>
              <w:widowControl/>
              <w:rPr>
                <w:rFonts w:hint="eastAsia" w:ascii="宋体" w:hAnsi="宋体" w:cs="宋体"/>
                <w:kern w:val="0"/>
                <w:szCs w:val="21"/>
              </w:rPr>
            </w:pPr>
            <w:r>
              <w:rPr>
                <w:rFonts w:hint="eastAsia" w:ascii="宋体" w:hAnsi="宋体" w:eastAsia="宋体" w:cs="宋体"/>
                <w:b/>
                <w:bCs/>
                <w:color w:val="auto"/>
                <w:kern w:val="0"/>
                <w:sz w:val="28"/>
                <w:szCs w:val="28"/>
              </w:rPr>
              <w:t>▲</w:t>
            </w:r>
            <w:r>
              <w:rPr>
                <w:rFonts w:hint="eastAsia" w:ascii="宋体" w:hAnsi="宋体" w:cs="宋体"/>
                <w:kern w:val="0"/>
                <w:szCs w:val="21"/>
              </w:rPr>
              <w:t>15.2</w:t>
            </w:r>
          </w:p>
        </w:tc>
        <w:tc>
          <w:tcPr>
            <w:tcW w:w="1388" w:type="dxa"/>
            <w:gridSpan w:val="2"/>
            <w:tcBorders>
              <w:top w:val="nil"/>
              <w:left w:val="single" w:color="000000" w:sz="4" w:space="0"/>
              <w:bottom w:val="single" w:color="000000" w:sz="4" w:space="0"/>
              <w:right w:val="single" w:color="000000" w:sz="4" w:space="0"/>
            </w:tcBorders>
            <w:noWrap w:val="0"/>
            <w:vAlign w:val="center"/>
          </w:tcPr>
          <w:p w14:paraId="0B361747">
            <w:pPr>
              <w:widowControl/>
              <w:rPr>
                <w:rFonts w:hint="eastAsia" w:ascii="宋体" w:hAnsi="宋体"/>
                <w:szCs w:val="21"/>
              </w:rPr>
            </w:pPr>
            <w:r>
              <w:rPr>
                <w:rFonts w:hint="eastAsia"/>
              </w:rPr>
              <w:t>凝胶</w:t>
            </w:r>
            <w:r>
              <w:rPr>
                <w:rFonts w:hint="eastAsia" w:ascii="宋体" w:hAnsi="宋体"/>
                <w:szCs w:val="21"/>
              </w:rPr>
              <w:t>卡条码扫描仪：</w:t>
            </w:r>
          </w:p>
        </w:tc>
        <w:tc>
          <w:tcPr>
            <w:tcW w:w="7359" w:type="dxa"/>
            <w:gridSpan w:val="2"/>
            <w:tcBorders>
              <w:top w:val="nil"/>
              <w:left w:val="nil"/>
              <w:bottom w:val="single" w:color="000000" w:sz="4" w:space="0"/>
              <w:right w:val="single" w:color="000000" w:sz="4" w:space="0"/>
            </w:tcBorders>
            <w:noWrap w:val="0"/>
            <w:vAlign w:val="center"/>
          </w:tcPr>
          <w:p w14:paraId="3FBBE4FF">
            <w:pPr>
              <w:rPr>
                <w:rFonts w:hint="eastAsia" w:ascii="宋体" w:hAnsi="宋体"/>
                <w:szCs w:val="21"/>
              </w:rPr>
            </w:pPr>
            <w:r>
              <w:rPr>
                <w:rFonts w:hint="eastAsia"/>
              </w:rPr>
              <w:t>凝胶</w:t>
            </w:r>
            <w:r>
              <w:rPr>
                <w:rFonts w:hint="eastAsia" w:ascii="宋体" w:hAnsi="宋体"/>
                <w:szCs w:val="21"/>
              </w:rPr>
              <w:t>卡条码扫描仪≥1个，通过扫描</w:t>
            </w:r>
            <w:r>
              <w:rPr>
                <w:rFonts w:hint="eastAsia"/>
              </w:rPr>
              <w:t>凝胶</w:t>
            </w:r>
            <w:r>
              <w:rPr>
                <w:rFonts w:hint="eastAsia" w:ascii="宋体" w:hAnsi="宋体"/>
                <w:szCs w:val="21"/>
              </w:rPr>
              <w:t>卡上条码自动识别血型卡类型，避免</w:t>
            </w:r>
            <w:r>
              <w:rPr>
                <w:rFonts w:hint="eastAsia"/>
                <w:szCs w:val="21"/>
              </w:rPr>
              <w:t>凝胶</w:t>
            </w:r>
            <w:r>
              <w:rPr>
                <w:rFonts w:hint="eastAsia" w:ascii="宋体" w:hAnsi="宋体"/>
                <w:szCs w:val="21"/>
              </w:rPr>
              <w:t>卡错用。</w:t>
            </w:r>
            <w:r>
              <w:rPr>
                <w:rFonts w:hint="eastAsia"/>
              </w:rPr>
              <w:t>凝胶</w:t>
            </w:r>
            <w:r>
              <w:rPr>
                <w:rFonts w:hint="eastAsia" w:ascii="宋体" w:hAnsi="宋体"/>
                <w:szCs w:val="21"/>
              </w:rPr>
              <w:t>卡条码扫描仪同</w:t>
            </w:r>
            <w:r>
              <w:rPr>
                <w:rFonts w:hint="eastAsia"/>
                <w:szCs w:val="21"/>
              </w:rPr>
              <w:t>标本条码扫描仪为两个独立的模块，不可共用。</w:t>
            </w:r>
          </w:p>
        </w:tc>
      </w:tr>
      <w:tr w14:paraId="411151DB">
        <w:tblPrEx>
          <w:tblCellMar>
            <w:top w:w="0" w:type="dxa"/>
            <w:left w:w="108" w:type="dxa"/>
            <w:bottom w:w="0" w:type="dxa"/>
            <w:right w:w="108" w:type="dxa"/>
          </w:tblCellMar>
        </w:tblPrEx>
        <w:trPr>
          <w:trHeight w:val="657" w:hRule="atLeast"/>
        </w:trPr>
        <w:tc>
          <w:tcPr>
            <w:tcW w:w="1024" w:type="dxa"/>
            <w:tcBorders>
              <w:top w:val="nil"/>
              <w:left w:val="single" w:color="000000" w:sz="4" w:space="0"/>
              <w:bottom w:val="single" w:color="000000" w:sz="4" w:space="0"/>
              <w:right w:val="single" w:color="000000" w:sz="4" w:space="0"/>
            </w:tcBorders>
            <w:noWrap w:val="0"/>
            <w:vAlign w:val="center"/>
          </w:tcPr>
          <w:p w14:paraId="0859561E">
            <w:pPr>
              <w:widowControl/>
              <w:rPr>
                <w:rFonts w:hint="eastAsia" w:ascii="宋体" w:hAnsi="宋体" w:cs="宋体"/>
                <w:kern w:val="0"/>
                <w:szCs w:val="21"/>
              </w:rPr>
            </w:pPr>
            <w:r>
              <w:rPr>
                <w:rFonts w:hint="eastAsia" w:ascii="宋体" w:hAnsi="宋体" w:cs="宋体"/>
                <w:kern w:val="0"/>
                <w:szCs w:val="21"/>
              </w:rPr>
              <w:t>1</w:t>
            </w:r>
            <w:r>
              <w:rPr>
                <w:rFonts w:ascii="宋体" w:hAnsi="宋体" w:cs="宋体"/>
                <w:kern w:val="0"/>
                <w:szCs w:val="21"/>
              </w:rPr>
              <w:t>6</w:t>
            </w:r>
            <w:r>
              <w:rPr>
                <w:rFonts w:hint="eastAsia" w:ascii="宋体" w:hAnsi="宋体" w:cs="宋体"/>
                <w:kern w:val="0"/>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6C26E379">
            <w:pPr>
              <w:widowControl/>
              <w:rPr>
                <w:rFonts w:hint="eastAsia" w:ascii="宋体" w:hAnsi="宋体"/>
                <w:szCs w:val="21"/>
              </w:rPr>
            </w:pPr>
            <w:r>
              <w:rPr>
                <w:rFonts w:hint="eastAsia" w:ascii="宋体" w:hAnsi="宋体"/>
                <w:color w:val="000000"/>
                <w:szCs w:val="21"/>
              </w:rPr>
              <w:t>液量检测：</w:t>
            </w:r>
          </w:p>
        </w:tc>
        <w:tc>
          <w:tcPr>
            <w:tcW w:w="7359" w:type="dxa"/>
            <w:gridSpan w:val="2"/>
            <w:tcBorders>
              <w:top w:val="nil"/>
              <w:left w:val="nil"/>
              <w:bottom w:val="single" w:color="000000" w:sz="4" w:space="0"/>
              <w:right w:val="single" w:color="000000" w:sz="4" w:space="0"/>
            </w:tcBorders>
            <w:noWrap w:val="0"/>
            <w:vAlign w:val="center"/>
          </w:tcPr>
          <w:p w14:paraId="39769C40">
            <w:pPr>
              <w:rPr>
                <w:rFonts w:hint="default" w:ascii="宋体" w:hAnsi="宋体" w:eastAsia="宋体"/>
                <w:color w:val="000000"/>
                <w:szCs w:val="21"/>
                <w:lang w:val="en-US" w:eastAsia="zh-CN"/>
              </w:rPr>
            </w:pPr>
            <w:r>
              <w:rPr>
                <w:rFonts w:hint="eastAsia" w:ascii="宋体" w:hAnsi="宋体"/>
                <w:color w:val="000000"/>
                <w:szCs w:val="21"/>
              </w:rPr>
              <w:t>实时监测系统液的液量，并显示在软件界面。系统液量不足时自动报警。</w:t>
            </w:r>
          </w:p>
        </w:tc>
      </w:tr>
      <w:tr w14:paraId="2F2C98C3">
        <w:tblPrEx>
          <w:tblCellMar>
            <w:top w:w="0" w:type="dxa"/>
            <w:left w:w="108" w:type="dxa"/>
            <w:bottom w:w="0" w:type="dxa"/>
            <w:right w:w="108" w:type="dxa"/>
          </w:tblCellMar>
        </w:tblPrEx>
        <w:trPr>
          <w:trHeight w:val="640" w:hRule="atLeast"/>
        </w:trPr>
        <w:tc>
          <w:tcPr>
            <w:tcW w:w="1024" w:type="dxa"/>
            <w:tcBorders>
              <w:top w:val="nil"/>
              <w:left w:val="single" w:color="000000" w:sz="4" w:space="0"/>
              <w:bottom w:val="single" w:color="000000" w:sz="4" w:space="0"/>
              <w:right w:val="single" w:color="000000" w:sz="4" w:space="0"/>
            </w:tcBorders>
            <w:noWrap w:val="0"/>
            <w:vAlign w:val="center"/>
          </w:tcPr>
          <w:p w14:paraId="17C40AC2">
            <w:pPr>
              <w:widowControl/>
              <w:rPr>
                <w:rFonts w:hint="eastAsia" w:ascii="宋体" w:hAnsi="宋体" w:cs="宋体"/>
                <w:kern w:val="0"/>
                <w:szCs w:val="21"/>
              </w:rPr>
            </w:pPr>
            <w:r>
              <w:rPr>
                <w:rFonts w:hint="eastAsia" w:ascii="宋体" w:hAnsi="宋体" w:eastAsia="宋体" w:cs="宋体"/>
                <w:b/>
                <w:bCs/>
                <w:color w:val="auto"/>
                <w:kern w:val="0"/>
                <w:sz w:val="28"/>
                <w:szCs w:val="28"/>
              </w:rPr>
              <w:t>▲</w:t>
            </w:r>
            <w:r>
              <w:rPr>
                <w:rFonts w:ascii="宋体" w:hAnsi="宋体" w:cs="宋体"/>
                <w:kern w:val="0"/>
                <w:szCs w:val="21"/>
              </w:rPr>
              <w:t>17</w:t>
            </w:r>
            <w:r>
              <w:rPr>
                <w:rFonts w:hint="eastAsia" w:ascii="宋体" w:hAnsi="宋体" w:cs="宋体"/>
                <w:kern w:val="0"/>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7C39CF25">
            <w:pPr>
              <w:widowControl/>
              <w:rPr>
                <w:rFonts w:hint="eastAsia"/>
                <w:color w:val="000000"/>
                <w:szCs w:val="21"/>
              </w:rPr>
            </w:pPr>
            <w:r>
              <w:rPr>
                <w:rFonts w:hint="eastAsia"/>
                <w:szCs w:val="21"/>
              </w:rPr>
              <w:t>安全和报警：</w:t>
            </w:r>
          </w:p>
        </w:tc>
        <w:tc>
          <w:tcPr>
            <w:tcW w:w="7359" w:type="dxa"/>
            <w:gridSpan w:val="2"/>
            <w:tcBorders>
              <w:top w:val="nil"/>
              <w:left w:val="nil"/>
              <w:bottom w:val="single" w:color="000000" w:sz="4" w:space="0"/>
              <w:right w:val="single" w:color="000000" w:sz="4" w:space="0"/>
            </w:tcBorders>
            <w:noWrap w:val="0"/>
            <w:vAlign w:val="center"/>
          </w:tcPr>
          <w:p w14:paraId="2F7A0FB4">
            <w:pPr>
              <w:rPr>
                <w:rFonts w:hint="eastAsia"/>
                <w:szCs w:val="21"/>
              </w:rPr>
            </w:pPr>
            <w:r>
              <w:rPr>
                <w:rFonts w:hint="eastAsia" w:ascii="宋体" w:hAnsi="宋体"/>
                <w:szCs w:val="21"/>
              </w:rPr>
              <w:t>具备可全密闭的外观结构；具备声音、警示灯的双重报警系统功能。</w:t>
            </w:r>
          </w:p>
        </w:tc>
      </w:tr>
      <w:tr w14:paraId="37561CFF">
        <w:tblPrEx>
          <w:tblCellMar>
            <w:top w:w="0" w:type="dxa"/>
            <w:left w:w="108" w:type="dxa"/>
            <w:bottom w:w="0" w:type="dxa"/>
            <w:right w:w="108" w:type="dxa"/>
          </w:tblCellMar>
        </w:tblPrEx>
        <w:trPr>
          <w:trHeight w:val="345" w:hRule="atLeast"/>
        </w:trPr>
        <w:tc>
          <w:tcPr>
            <w:tcW w:w="1024" w:type="dxa"/>
            <w:tcBorders>
              <w:top w:val="nil"/>
              <w:left w:val="single" w:color="000000" w:sz="4" w:space="0"/>
              <w:bottom w:val="single" w:color="000000" w:sz="4" w:space="0"/>
              <w:right w:val="single" w:color="000000" w:sz="4" w:space="0"/>
            </w:tcBorders>
            <w:noWrap w:val="0"/>
            <w:vAlign w:val="center"/>
          </w:tcPr>
          <w:p w14:paraId="2903F315">
            <w:pPr>
              <w:widowControl/>
              <w:rPr>
                <w:rFonts w:hint="eastAsia"/>
                <w:szCs w:val="21"/>
              </w:rPr>
            </w:pPr>
            <w:r>
              <w:rPr>
                <w:rFonts w:hint="eastAsia" w:ascii="宋体" w:hAnsi="宋体" w:eastAsia="宋体" w:cs="宋体"/>
                <w:b/>
                <w:bCs/>
                <w:color w:val="auto"/>
                <w:kern w:val="0"/>
                <w:sz w:val="28"/>
                <w:szCs w:val="28"/>
              </w:rPr>
              <w:t>▲</w:t>
            </w:r>
            <w:r>
              <w:rPr>
                <w:szCs w:val="21"/>
              </w:rPr>
              <w:t>18</w:t>
            </w:r>
            <w:r>
              <w:rPr>
                <w:rFonts w:hint="eastAsia" w:ascii="宋体" w:hAnsi="宋体" w:cs="宋体"/>
                <w:kern w:val="0"/>
                <w:szCs w:val="21"/>
              </w:rPr>
              <w:t>．</w:t>
            </w:r>
          </w:p>
        </w:tc>
        <w:tc>
          <w:tcPr>
            <w:tcW w:w="1388" w:type="dxa"/>
            <w:gridSpan w:val="2"/>
            <w:tcBorders>
              <w:top w:val="nil"/>
              <w:left w:val="single" w:color="000000" w:sz="4" w:space="0"/>
              <w:bottom w:val="single" w:color="000000" w:sz="4" w:space="0"/>
              <w:right w:val="single" w:color="000000" w:sz="4" w:space="0"/>
            </w:tcBorders>
            <w:noWrap w:val="0"/>
            <w:vAlign w:val="center"/>
          </w:tcPr>
          <w:p w14:paraId="31B3B160">
            <w:pPr>
              <w:widowControl/>
              <w:rPr>
                <w:rFonts w:hint="eastAsia"/>
                <w:szCs w:val="21"/>
              </w:rPr>
            </w:pPr>
            <w:r>
              <w:rPr>
                <w:rFonts w:hint="eastAsia"/>
                <w:szCs w:val="21"/>
              </w:rPr>
              <w:t>注册证：</w:t>
            </w:r>
          </w:p>
        </w:tc>
        <w:tc>
          <w:tcPr>
            <w:tcW w:w="7359" w:type="dxa"/>
            <w:gridSpan w:val="2"/>
            <w:tcBorders>
              <w:top w:val="nil"/>
              <w:left w:val="nil"/>
              <w:bottom w:val="single" w:color="000000" w:sz="4" w:space="0"/>
              <w:right w:val="single" w:color="000000" w:sz="4" w:space="0"/>
            </w:tcBorders>
            <w:noWrap w:val="0"/>
            <w:vAlign w:val="center"/>
          </w:tcPr>
          <w:p w14:paraId="44495683">
            <w:pPr>
              <w:rPr>
                <w:rFonts w:hint="eastAsia" w:ascii="宋体" w:hAnsi="宋体"/>
                <w:szCs w:val="21"/>
              </w:rPr>
            </w:pPr>
            <w:r>
              <w:rPr>
                <w:rFonts w:hint="eastAsia" w:ascii="宋体" w:hAnsi="宋体"/>
                <w:szCs w:val="21"/>
              </w:rPr>
              <w:t>提供国家食品药品监督管理总局颁发的III类医疗器械注册证。</w:t>
            </w:r>
          </w:p>
        </w:tc>
      </w:tr>
      <w:tr w14:paraId="11E256C3">
        <w:tblPrEx>
          <w:tblCellMar>
            <w:top w:w="0" w:type="dxa"/>
            <w:left w:w="108" w:type="dxa"/>
            <w:bottom w:w="0" w:type="dxa"/>
            <w:right w:w="108" w:type="dxa"/>
          </w:tblCellMar>
        </w:tblPrEx>
        <w:trPr>
          <w:trHeight w:val="345" w:hRule="atLeast"/>
        </w:trPr>
        <w:tc>
          <w:tcPr>
            <w:tcW w:w="1024" w:type="dxa"/>
            <w:tcBorders>
              <w:top w:val="nil"/>
              <w:left w:val="single" w:color="000000" w:sz="4" w:space="0"/>
              <w:bottom w:val="single" w:color="000000" w:sz="4" w:space="0"/>
              <w:right w:val="single" w:color="000000" w:sz="4" w:space="0"/>
            </w:tcBorders>
            <w:noWrap w:val="0"/>
            <w:vAlign w:val="center"/>
          </w:tcPr>
          <w:p w14:paraId="72ED86A9">
            <w:pPr>
              <w:widowControl/>
              <w:rPr>
                <w:rFonts w:hint="eastAsia" w:ascii="宋体" w:hAnsi="宋体" w:cs="宋体"/>
                <w:kern w:val="0"/>
                <w:szCs w:val="21"/>
              </w:rPr>
            </w:pPr>
            <w:r>
              <w:rPr>
                <w:rFonts w:hint="eastAsia" w:ascii="微软雅黑" w:hAnsi="微软雅黑" w:eastAsia="微软雅黑" w:cs="微软雅黑"/>
                <w:b/>
                <w:bCs/>
                <w:color w:val="auto"/>
                <w:kern w:val="0"/>
                <w:sz w:val="28"/>
                <w:szCs w:val="28"/>
              </w:rPr>
              <w:t>★</w:t>
            </w:r>
            <w:r>
              <w:rPr>
                <w:rFonts w:hint="eastAsia" w:ascii="宋体" w:hAnsi="宋体"/>
                <w:szCs w:val="21"/>
                <w:lang w:val="en-US" w:eastAsia="zh-CN"/>
              </w:rPr>
              <w:t>1</w:t>
            </w:r>
            <w:r>
              <w:rPr>
                <w:rFonts w:hint="eastAsia" w:ascii="宋体" w:hAnsi="宋体"/>
                <w:szCs w:val="21"/>
              </w:rPr>
              <w:t>9.</w:t>
            </w:r>
          </w:p>
        </w:tc>
        <w:tc>
          <w:tcPr>
            <w:tcW w:w="1388" w:type="dxa"/>
            <w:gridSpan w:val="2"/>
            <w:tcBorders>
              <w:top w:val="nil"/>
              <w:left w:val="single" w:color="000000" w:sz="4" w:space="0"/>
              <w:bottom w:val="single" w:color="000000" w:sz="4" w:space="0"/>
              <w:right w:val="single" w:color="000000" w:sz="4" w:space="0"/>
            </w:tcBorders>
            <w:noWrap w:val="0"/>
            <w:vAlign w:val="center"/>
          </w:tcPr>
          <w:p w14:paraId="18D857F3">
            <w:pPr>
              <w:widowControl/>
              <w:rPr>
                <w:rFonts w:hint="eastAsia"/>
                <w:szCs w:val="21"/>
              </w:rPr>
            </w:pPr>
            <w:r>
              <w:rPr>
                <w:rFonts w:hint="eastAsia" w:ascii="宋体" w:hAnsi="宋体"/>
                <w:szCs w:val="21"/>
              </w:rPr>
              <w:t>使用期限：</w:t>
            </w:r>
          </w:p>
        </w:tc>
        <w:tc>
          <w:tcPr>
            <w:tcW w:w="7359" w:type="dxa"/>
            <w:gridSpan w:val="2"/>
            <w:tcBorders>
              <w:top w:val="nil"/>
              <w:left w:val="nil"/>
              <w:bottom w:val="single" w:color="000000" w:sz="4" w:space="0"/>
              <w:right w:val="single" w:color="000000" w:sz="4" w:space="0"/>
            </w:tcBorders>
            <w:noWrap w:val="0"/>
            <w:vAlign w:val="center"/>
          </w:tcPr>
          <w:p w14:paraId="7043CE38">
            <w:pPr>
              <w:rPr>
                <w:rFonts w:hint="eastAsia" w:ascii="宋体" w:hAnsi="宋体"/>
                <w:szCs w:val="21"/>
              </w:rPr>
            </w:pPr>
            <w:r>
              <w:rPr>
                <w:rFonts w:hint="eastAsia" w:ascii="宋体" w:hAnsi="宋体"/>
                <w:szCs w:val="21"/>
              </w:rPr>
              <w:t>设备使用期限≥10年，需提供投标产品的铭牌为证。</w:t>
            </w:r>
          </w:p>
        </w:tc>
      </w:tr>
      <w:tr w14:paraId="154411AC">
        <w:tblPrEx>
          <w:tblCellMar>
            <w:top w:w="0" w:type="dxa"/>
            <w:left w:w="108" w:type="dxa"/>
            <w:bottom w:w="0" w:type="dxa"/>
            <w:right w:w="108" w:type="dxa"/>
          </w:tblCellMar>
        </w:tblPrEx>
        <w:trPr>
          <w:trHeight w:val="338" w:hRule="atLeast"/>
        </w:trPr>
        <w:tc>
          <w:tcPr>
            <w:tcW w:w="1024" w:type="dxa"/>
            <w:tcBorders>
              <w:top w:val="nil"/>
              <w:left w:val="single" w:color="000000" w:sz="4" w:space="0"/>
              <w:bottom w:val="single" w:color="000000" w:sz="4" w:space="0"/>
              <w:right w:val="single" w:color="000000" w:sz="4" w:space="0"/>
            </w:tcBorders>
            <w:noWrap w:val="0"/>
            <w:vAlign w:val="center"/>
          </w:tcPr>
          <w:p w14:paraId="33B8316B">
            <w:pPr>
              <w:widowControl/>
              <w:rPr>
                <w:rFonts w:hint="eastAsia" w:ascii="宋体" w:hAnsi="宋体" w:cs="宋体"/>
                <w:kern w:val="0"/>
                <w:szCs w:val="21"/>
              </w:rPr>
            </w:pPr>
            <w:r>
              <w:rPr>
                <w:rFonts w:hint="eastAsia" w:ascii="宋体" w:hAnsi="宋体" w:cs="宋体"/>
                <w:kern w:val="0"/>
                <w:szCs w:val="21"/>
              </w:rPr>
              <w:t>20.</w:t>
            </w:r>
          </w:p>
        </w:tc>
        <w:tc>
          <w:tcPr>
            <w:tcW w:w="8747" w:type="dxa"/>
            <w:gridSpan w:val="4"/>
            <w:tcBorders>
              <w:top w:val="nil"/>
              <w:left w:val="single" w:color="000000" w:sz="4" w:space="0"/>
              <w:bottom w:val="single" w:color="000000" w:sz="4" w:space="0"/>
              <w:right w:val="single" w:color="auto" w:sz="4" w:space="0"/>
            </w:tcBorders>
            <w:noWrap w:val="0"/>
            <w:vAlign w:val="center"/>
          </w:tcPr>
          <w:p w14:paraId="75ECF41B">
            <w:pPr>
              <w:widowControl/>
              <w:rPr>
                <w:rFonts w:hint="eastAsia" w:ascii="宋体" w:hAnsi="宋体" w:cs="宋体"/>
                <w:kern w:val="0"/>
                <w:szCs w:val="21"/>
              </w:rPr>
            </w:pPr>
            <w:r>
              <w:rPr>
                <w:rFonts w:hint="eastAsia" w:ascii="宋体" w:hAnsi="宋体" w:cs="宋体"/>
                <w:kern w:val="0"/>
                <w:szCs w:val="21"/>
              </w:rPr>
              <w:t>其他</w:t>
            </w:r>
          </w:p>
        </w:tc>
      </w:tr>
      <w:tr w14:paraId="251F0229">
        <w:tblPrEx>
          <w:tblCellMar>
            <w:top w:w="0" w:type="dxa"/>
            <w:left w:w="108" w:type="dxa"/>
            <w:bottom w:w="0" w:type="dxa"/>
            <w:right w:w="108" w:type="dxa"/>
          </w:tblCellMar>
        </w:tblPrEx>
        <w:trPr>
          <w:trHeight w:val="657" w:hRule="atLeast"/>
        </w:trPr>
        <w:tc>
          <w:tcPr>
            <w:tcW w:w="1024" w:type="dxa"/>
            <w:tcBorders>
              <w:top w:val="nil"/>
              <w:left w:val="single" w:color="000000" w:sz="4" w:space="0"/>
              <w:bottom w:val="single" w:color="000000" w:sz="4" w:space="0"/>
              <w:right w:val="single" w:color="000000" w:sz="4" w:space="0"/>
            </w:tcBorders>
            <w:noWrap w:val="0"/>
            <w:vAlign w:val="center"/>
          </w:tcPr>
          <w:p w14:paraId="2C160489">
            <w:pPr>
              <w:widowControl/>
              <w:rPr>
                <w:rFonts w:hint="eastAsia" w:ascii="宋体" w:hAnsi="宋体" w:cs="宋体"/>
                <w:kern w:val="0"/>
                <w:szCs w:val="21"/>
              </w:rPr>
            </w:pPr>
            <w:r>
              <w:rPr>
                <w:rFonts w:hint="eastAsia" w:ascii="宋体" w:hAnsi="宋体" w:cs="宋体"/>
                <w:kern w:val="0"/>
                <w:szCs w:val="21"/>
              </w:rPr>
              <w:t>2</w:t>
            </w:r>
            <w:r>
              <w:rPr>
                <w:rFonts w:ascii="宋体" w:hAnsi="宋体" w:cs="宋体"/>
                <w:kern w:val="0"/>
                <w:szCs w:val="21"/>
              </w:rPr>
              <w:t>0</w:t>
            </w:r>
            <w:r>
              <w:rPr>
                <w:rFonts w:hint="eastAsia" w:ascii="宋体" w:hAnsi="宋体" w:cs="宋体"/>
                <w:kern w:val="0"/>
                <w:szCs w:val="21"/>
              </w:rPr>
              <w:t>.1</w:t>
            </w:r>
          </w:p>
        </w:tc>
        <w:tc>
          <w:tcPr>
            <w:tcW w:w="1388" w:type="dxa"/>
            <w:gridSpan w:val="2"/>
            <w:tcBorders>
              <w:top w:val="nil"/>
              <w:left w:val="single" w:color="000000" w:sz="4" w:space="0"/>
              <w:bottom w:val="single" w:color="000000" w:sz="4" w:space="0"/>
              <w:right w:val="single" w:color="000000" w:sz="4" w:space="0"/>
            </w:tcBorders>
            <w:noWrap w:val="0"/>
            <w:vAlign w:val="center"/>
          </w:tcPr>
          <w:p w14:paraId="37974569">
            <w:pPr>
              <w:widowControl/>
              <w:rPr>
                <w:rFonts w:hint="eastAsia" w:ascii="宋体" w:hAnsi="宋体"/>
                <w:szCs w:val="21"/>
              </w:rPr>
            </w:pPr>
            <w:r>
              <w:rPr>
                <w:rFonts w:hint="eastAsia" w:ascii="宋体" w:hAnsi="宋体"/>
                <w:szCs w:val="21"/>
              </w:rPr>
              <w:t>软件：</w:t>
            </w:r>
          </w:p>
        </w:tc>
        <w:tc>
          <w:tcPr>
            <w:tcW w:w="7359" w:type="dxa"/>
            <w:gridSpan w:val="2"/>
            <w:tcBorders>
              <w:top w:val="nil"/>
              <w:left w:val="nil"/>
              <w:bottom w:val="single" w:color="000000" w:sz="4" w:space="0"/>
              <w:right w:val="single" w:color="000000" w:sz="4" w:space="0"/>
            </w:tcBorders>
            <w:noWrap w:val="0"/>
            <w:vAlign w:val="center"/>
          </w:tcPr>
          <w:p w14:paraId="647C545A">
            <w:pPr>
              <w:rPr>
                <w:rFonts w:hint="eastAsia"/>
                <w:szCs w:val="21"/>
              </w:rPr>
            </w:pPr>
            <w:r>
              <w:rPr>
                <w:rFonts w:hint="eastAsia"/>
                <w:szCs w:val="21"/>
              </w:rPr>
              <w:t>全中文软件操作界面，</w:t>
            </w:r>
            <w:bookmarkStart w:id="0" w:name="OLE_LINK2"/>
            <w:bookmarkStart w:id="1" w:name="OLE_LINK1"/>
            <w:r>
              <w:rPr>
                <w:rFonts w:hint="eastAsia"/>
                <w:szCs w:val="21"/>
              </w:rPr>
              <w:t>windows</w:t>
            </w:r>
            <w:bookmarkEnd w:id="0"/>
            <w:bookmarkEnd w:id="1"/>
            <w:r>
              <w:rPr>
                <w:rFonts w:hint="eastAsia"/>
                <w:szCs w:val="21"/>
              </w:rPr>
              <w:t xml:space="preserve"> 7操作系统，MYSQL数据库，可以与医院管理系统连接，实现双向通讯。</w:t>
            </w:r>
          </w:p>
        </w:tc>
      </w:tr>
      <w:tr w14:paraId="390A5B3E">
        <w:tblPrEx>
          <w:tblCellMar>
            <w:top w:w="0" w:type="dxa"/>
            <w:left w:w="108" w:type="dxa"/>
            <w:bottom w:w="0" w:type="dxa"/>
            <w:right w:w="108" w:type="dxa"/>
          </w:tblCellMar>
        </w:tblPrEx>
        <w:trPr>
          <w:trHeight w:val="358" w:hRule="atLeast"/>
        </w:trPr>
        <w:tc>
          <w:tcPr>
            <w:tcW w:w="1024" w:type="dxa"/>
            <w:tcBorders>
              <w:top w:val="nil"/>
              <w:left w:val="single" w:color="000000" w:sz="4" w:space="0"/>
              <w:bottom w:val="single" w:color="000000" w:sz="4" w:space="0"/>
              <w:right w:val="single" w:color="000000" w:sz="4" w:space="0"/>
            </w:tcBorders>
            <w:noWrap w:val="0"/>
            <w:vAlign w:val="center"/>
          </w:tcPr>
          <w:p w14:paraId="20A64C9D">
            <w:pPr>
              <w:widowControl/>
              <w:rPr>
                <w:rFonts w:ascii="宋体" w:hAnsi="宋体" w:cs="宋体"/>
                <w:kern w:val="0"/>
                <w:szCs w:val="21"/>
              </w:rPr>
            </w:pPr>
            <w:r>
              <w:rPr>
                <w:rFonts w:hint="eastAsia" w:ascii="宋体" w:hAnsi="宋体" w:cs="宋体"/>
                <w:kern w:val="0"/>
                <w:szCs w:val="21"/>
              </w:rPr>
              <w:t>2</w:t>
            </w:r>
            <w:r>
              <w:rPr>
                <w:rFonts w:ascii="宋体" w:hAnsi="宋体" w:cs="宋体"/>
                <w:kern w:val="0"/>
                <w:szCs w:val="21"/>
              </w:rPr>
              <w:t>0</w:t>
            </w:r>
            <w:r>
              <w:rPr>
                <w:rFonts w:hint="eastAsia" w:ascii="宋体" w:hAnsi="宋体" w:cs="宋体"/>
                <w:kern w:val="0"/>
                <w:szCs w:val="21"/>
              </w:rPr>
              <w:t>.2</w:t>
            </w:r>
          </w:p>
        </w:tc>
        <w:tc>
          <w:tcPr>
            <w:tcW w:w="1388" w:type="dxa"/>
            <w:gridSpan w:val="2"/>
            <w:tcBorders>
              <w:top w:val="nil"/>
              <w:left w:val="single" w:color="000000" w:sz="4" w:space="0"/>
              <w:bottom w:val="single" w:color="000000" w:sz="4" w:space="0"/>
              <w:right w:val="single" w:color="000000" w:sz="4" w:space="0"/>
            </w:tcBorders>
            <w:noWrap w:val="0"/>
            <w:vAlign w:val="center"/>
          </w:tcPr>
          <w:p w14:paraId="029BDCE6">
            <w:pPr>
              <w:widowControl/>
              <w:rPr>
                <w:rFonts w:ascii="宋体" w:hAnsi="宋体" w:cs="宋体"/>
                <w:kern w:val="0"/>
                <w:szCs w:val="21"/>
              </w:rPr>
            </w:pPr>
            <w:r>
              <w:rPr>
                <w:rFonts w:hint="eastAsia" w:ascii="宋体" w:hAnsi="宋体"/>
                <w:szCs w:val="21"/>
              </w:rPr>
              <w:t>工作环境：</w:t>
            </w:r>
          </w:p>
        </w:tc>
        <w:tc>
          <w:tcPr>
            <w:tcW w:w="7359" w:type="dxa"/>
            <w:gridSpan w:val="2"/>
            <w:tcBorders>
              <w:top w:val="nil"/>
              <w:left w:val="nil"/>
              <w:bottom w:val="single" w:color="000000" w:sz="4" w:space="0"/>
              <w:right w:val="single" w:color="000000" w:sz="4" w:space="0"/>
            </w:tcBorders>
            <w:noWrap w:val="0"/>
            <w:vAlign w:val="center"/>
          </w:tcPr>
          <w:p w14:paraId="18D9881E">
            <w:pPr>
              <w:rPr>
                <w:rFonts w:hint="eastAsia" w:ascii="宋体" w:hAnsi="宋体"/>
                <w:szCs w:val="21"/>
              </w:rPr>
            </w:pPr>
            <w:r>
              <w:rPr>
                <w:rFonts w:hint="eastAsia" w:ascii="宋体" w:hAnsi="宋体"/>
                <w:szCs w:val="21"/>
              </w:rPr>
              <w:t>温度1</w:t>
            </w:r>
            <w:r>
              <w:rPr>
                <w:rFonts w:hint="eastAsia" w:ascii="宋体" w:hAnsi="宋体"/>
                <w:szCs w:val="21"/>
                <w:lang w:val="en-US" w:eastAsia="zh-CN"/>
              </w:rPr>
              <w:t>0</w:t>
            </w:r>
            <w:r>
              <w:rPr>
                <w:rFonts w:hint="eastAsia" w:ascii="宋体" w:hAnsi="宋体"/>
                <w:szCs w:val="21"/>
              </w:rPr>
              <w:t>℃-32℃；湿度</w:t>
            </w:r>
            <w:r>
              <w:rPr>
                <w:rFonts w:hint="eastAsia" w:ascii="宋体" w:hAnsi="宋体"/>
                <w:szCs w:val="21"/>
                <w:lang w:val="en-US" w:eastAsia="zh-CN"/>
              </w:rPr>
              <w:t>30</w:t>
            </w:r>
            <w:r>
              <w:rPr>
                <w:rFonts w:hint="eastAsia" w:ascii="宋体" w:hAnsi="宋体"/>
                <w:szCs w:val="21"/>
              </w:rPr>
              <w:t>%-8</w:t>
            </w:r>
            <w:r>
              <w:rPr>
                <w:rFonts w:hint="eastAsia" w:ascii="宋体" w:hAnsi="宋体"/>
                <w:szCs w:val="21"/>
                <w:lang w:val="en-US" w:eastAsia="zh-CN"/>
              </w:rPr>
              <w:t>0</w:t>
            </w:r>
            <w:r>
              <w:rPr>
                <w:rFonts w:hint="eastAsia" w:ascii="宋体" w:hAnsi="宋体"/>
                <w:szCs w:val="21"/>
              </w:rPr>
              <w:t>%。</w:t>
            </w:r>
          </w:p>
        </w:tc>
      </w:tr>
    </w:tbl>
    <w:p w14:paraId="61FC85F7">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宋体" w:hAnsi="宋体" w:cs="宋体"/>
          <w:b/>
          <w:bCs/>
          <w:sz w:val="28"/>
          <w:szCs w:val="28"/>
          <w:highlight w:val="yellow"/>
        </w:rPr>
      </w:pPr>
    </w:p>
    <w:p w14:paraId="15269F3D">
      <w:pPr>
        <w:adjustRightInd w:val="0"/>
        <w:snapToGrid w:val="0"/>
        <w:spacing w:line="480" w:lineRule="exact"/>
        <w:ind w:firstLine="281" w:firstLineChars="100"/>
        <w:rPr>
          <w:rFonts w:hint="eastAsia" w:ascii="宋体" w:hAnsi="宋体" w:eastAsia="宋体" w:cs="宋体"/>
          <w:b/>
          <w:bCs/>
          <w:color w:val="auto"/>
          <w:kern w:val="0"/>
          <w:sz w:val="28"/>
          <w:szCs w:val="28"/>
          <w:lang w:eastAsia="zh-CN"/>
        </w:rPr>
      </w:pPr>
      <w:r>
        <w:rPr>
          <w:rFonts w:hint="eastAsia" w:ascii="宋体" w:hAnsi="宋体" w:eastAsia="宋体" w:cs="宋体"/>
          <w:b/>
          <w:bCs/>
          <w:color w:val="auto"/>
          <w:kern w:val="0"/>
          <w:sz w:val="28"/>
          <w:szCs w:val="28"/>
        </w:rPr>
        <w:t>备注：</w:t>
      </w:r>
      <w:r>
        <w:rPr>
          <w:rFonts w:hint="eastAsia" w:ascii="宋体" w:hAnsi="宋体" w:eastAsia="宋体" w:cs="宋体"/>
          <w:b/>
          <w:bCs/>
          <w:color w:val="auto"/>
          <w:kern w:val="0"/>
          <w:sz w:val="28"/>
          <w:szCs w:val="28"/>
          <w:lang w:val="en-US" w:eastAsia="zh-CN"/>
        </w:rPr>
        <w:t>1、</w:t>
      </w:r>
      <w:r>
        <w:rPr>
          <w:rFonts w:hint="eastAsia" w:ascii="宋体" w:hAnsi="宋体" w:eastAsia="宋体" w:cs="宋体"/>
          <w:b/>
          <w:bCs/>
          <w:color w:val="auto"/>
          <w:kern w:val="0"/>
          <w:sz w:val="28"/>
          <w:szCs w:val="28"/>
        </w:rPr>
        <w:t>以上参数标注“▲”的为</w:t>
      </w:r>
      <w:r>
        <w:rPr>
          <w:rFonts w:hint="eastAsia" w:ascii="宋体" w:hAnsi="宋体" w:cs="宋体"/>
          <w:b/>
          <w:bCs/>
          <w:color w:val="auto"/>
          <w:kern w:val="0"/>
          <w:sz w:val="28"/>
          <w:szCs w:val="28"/>
          <w:lang w:eastAsia="zh-CN"/>
        </w:rPr>
        <w:t>重要技术指标，</w:t>
      </w:r>
      <w:r>
        <w:rPr>
          <w:rFonts w:hint="eastAsia" w:ascii="宋体" w:hAnsi="宋体" w:eastAsia="宋体" w:cs="宋体"/>
          <w:b/>
          <w:bCs/>
          <w:color w:val="auto"/>
          <w:kern w:val="0"/>
          <w:sz w:val="28"/>
          <w:szCs w:val="28"/>
        </w:rPr>
        <w:t>标注“</w:t>
      </w:r>
      <w:r>
        <w:rPr>
          <w:rFonts w:hint="eastAsia" w:ascii="微软雅黑" w:hAnsi="微软雅黑" w:eastAsia="微软雅黑" w:cs="微软雅黑"/>
          <w:b/>
          <w:bCs/>
          <w:color w:val="auto"/>
          <w:kern w:val="0"/>
          <w:sz w:val="28"/>
          <w:szCs w:val="28"/>
        </w:rPr>
        <w:t>★</w:t>
      </w:r>
      <w:r>
        <w:rPr>
          <w:rFonts w:hint="eastAsia" w:ascii="宋体" w:hAnsi="宋体" w:eastAsia="宋体" w:cs="宋体"/>
          <w:b/>
          <w:bCs/>
          <w:color w:val="auto"/>
          <w:kern w:val="0"/>
          <w:sz w:val="28"/>
          <w:szCs w:val="28"/>
        </w:rPr>
        <w:t>”的为</w:t>
      </w:r>
      <w:r>
        <w:rPr>
          <w:rFonts w:hint="eastAsia" w:ascii="宋体" w:hAnsi="宋体" w:cs="宋体"/>
          <w:b/>
          <w:bCs/>
          <w:color w:val="auto"/>
          <w:kern w:val="0"/>
          <w:sz w:val="28"/>
          <w:szCs w:val="28"/>
          <w:lang w:eastAsia="zh-CN"/>
        </w:rPr>
        <w:t>必要技术指标</w:t>
      </w:r>
      <w:r>
        <w:rPr>
          <w:rFonts w:hint="eastAsia" w:ascii="宋体" w:hAnsi="宋体" w:eastAsia="宋体" w:cs="宋体"/>
          <w:b/>
          <w:bCs/>
          <w:color w:val="auto"/>
          <w:kern w:val="0"/>
          <w:sz w:val="28"/>
          <w:szCs w:val="28"/>
        </w:rPr>
        <w:t>，</w:t>
      </w:r>
      <w:r>
        <w:rPr>
          <w:rFonts w:hint="eastAsia" w:ascii="宋体" w:hAnsi="宋体" w:eastAsia="宋体" w:cs="宋体"/>
          <w:b/>
          <w:bCs/>
          <w:color w:val="auto"/>
          <w:kern w:val="0"/>
          <w:sz w:val="28"/>
          <w:szCs w:val="28"/>
          <w:lang w:eastAsia="zh-CN"/>
        </w:rPr>
        <w:t>不允许负偏离，</w:t>
      </w:r>
      <w:r>
        <w:rPr>
          <w:rFonts w:hint="eastAsia" w:ascii="宋体" w:hAnsi="宋体" w:eastAsia="宋体" w:cs="宋体"/>
          <w:b/>
          <w:bCs/>
          <w:color w:val="auto"/>
          <w:kern w:val="0"/>
          <w:sz w:val="28"/>
          <w:szCs w:val="28"/>
          <w:lang w:val="en-US" w:eastAsia="zh-CN"/>
        </w:rPr>
        <w:t>如有一项不满足，作无效标处理。</w:t>
      </w:r>
      <w:r>
        <w:rPr>
          <w:rFonts w:hint="eastAsia" w:ascii="宋体" w:hAnsi="宋体" w:eastAsia="宋体" w:cs="宋体"/>
          <w:b/>
          <w:bCs/>
          <w:color w:val="auto"/>
          <w:kern w:val="0"/>
          <w:sz w:val="28"/>
          <w:szCs w:val="28"/>
        </w:rPr>
        <w:t>须提供证明材料予以佐证。</w:t>
      </w:r>
    </w:p>
    <w:p w14:paraId="68A91DAD">
      <w:pPr>
        <w:adjustRightInd w:val="0"/>
        <w:snapToGrid w:val="0"/>
        <w:spacing w:line="480" w:lineRule="exact"/>
        <w:ind w:firstLine="843" w:firstLineChars="300"/>
        <w:rPr>
          <w:rFonts w:hint="default" w:ascii="宋体" w:hAnsi="宋体" w:eastAsia="宋体" w:cs="宋体"/>
          <w:color w:val="000000"/>
          <w:kern w:val="0"/>
          <w:sz w:val="28"/>
          <w:szCs w:val="28"/>
          <w:lang w:val="en-US" w:eastAsia="zh-CN"/>
        </w:rPr>
      </w:pPr>
      <w:r>
        <w:rPr>
          <w:rFonts w:hint="eastAsia" w:ascii="宋体" w:hAnsi="宋体" w:eastAsia="宋体" w:cs="宋体"/>
          <w:b/>
          <w:bCs/>
          <w:color w:val="000000"/>
          <w:kern w:val="0"/>
          <w:sz w:val="28"/>
          <w:szCs w:val="28"/>
          <w:lang w:val="en-US" w:eastAsia="zh-CN"/>
        </w:rPr>
        <w:t>2、</w:t>
      </w:r>
      <w:r>
        <w:rPr>
          <w:rFonts w:hint="eastAsia" w:ascii="宋体" w:hAnsi="宋体" w:cs="宋体"/>
          <w:b/>
          <w:bCs/>
          <w:color w:val="000000"/>
          <w:kern w:val="0"/>
          <w:sz w:val="28"/>
          <w:szCs w:val="28"/>
          <w:lang w:val="en-US" w:eastAsia="zh-CN"/>
        </w:rPr>
        <w:t>中标人</w:t>
      </w:r>
      <w:r>
        <w:rPr>
          <w:rFonts w:hint="eastAsia" w:ascii="宋体" w:hAnsi="宋体" w:eastAsia="宋体" w:cs="宋体"/>
          <w:b/>
          <w:bCs/>
          <w:color w:val="000000"/>
          <w:kern w:val="0"/>
          <w:sz w:val="28"/>
          <w:szCs w:val="28"/>
          <w:lang w:val="en-US" w:eastAsia="zh-CN"/>
        </w:rPr>
        <w:t>所投产品不满足相关文件要求，采购人有权追究中标人的违约责任，中标人承担由此产生的一切后果及责任（承诺函格式自理）。</w:t>
      </w:r>
    </w:p>
    <w:p w14:paraId="7D2A8E27">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kern w:val="0"/>
          <w:sz w:val="28"/>
          <w:szCs w:val="28"/>
        </w:rPr>
      </w:pPr>
      <w:r>
        <w:rPr>
          <w:rFonts w:hint="eastAsia" w:ascii="宋体" w:hAnsi="宋体" w:cs="宋体"/>
          <w:b/>
          <w:kern w:val="0"/>
          <w:sz w:val="28"/>
          <w:szCs w:val="28"/>
          <w:lang w:eastAsia="zh-CN"/>
        </w:rPr>
        <w:t>二</w:t>
      </w:r>
      <w:r>
        <w:rPr>
          <w:rFonts w:hint="eastAsia" w:ascii="宋体" w:hAnsi="宋体" w:eastAsia="宋体" w:cs="宋体"/>
          <w:b/>
          <w:kern w:val="0"/>
          <w:sz w:val="28"/>
          <w:szCs w:val="28"/>
          <w:lang w:eastAsia="zh-CN"/>
        </w:rPr>
        <w:t>、</w:t>
      </w:r>
      <w:r>
        <w:rPr>
          <w:rFonts w:hint="eastAsia" w:ascii="宋体" w:hAnsi="宋体" w:eastAsia="宋体" w:cs="宋体"/>
          <w:b/>
          <w:kern w:val="0"/>
          <w:sz w:val="28"/>
          <w:szCs w:val="28"/>
        </w:rPr>
        <w:t>质保期及售后服务</w:t>
      </w:r>
    </w:p>
    <w:p w14:paraId="68C44943">
      <w:pPr>
        <w:adjustRightInd w:val="0"/>
        <w:snapToGrid w:val="0"/>
        <w:spacing w:line="480" w:lineRule="exact"/>
        <w:ind w:firstLine="280" w:firstLineChars="100"/>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171A6E27">
      <w:pPr>
        <w:adjustRightInd w:val="0"/>
        <w:snapToGrid w:val="0"/>
        <w:spacing w:line="480" w:lineRule="exac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2、对所有在保修期内的设备，设备维修期间免费提供相应备用设备，并保证备用设备的性能不低于原设备。</w:t>
      </w:r>
    </w:p>
    <w:p w14:paraId="7AF169D6">
      <w:pPr>
        <w:adjustRightInd w:val="0"/>
        <w:snapToGrid w:val="0"/>
        <w:spacing w:line="480" w:lineRule="exac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3、在保修期内，产品在使用中出现故障，产品的零、部件在外观上出现物理损坏，成交供应商不能单方面判断为人为损坏或非正常损坏而拒绝保修，除非成交供应商能提供国家认可的、权威的鉴定单位出具的鉴定报告。</w:t>
      </w:r>
    </w:p>
    <w:p w14:paraId="5347D4B4">
      <w:pPr>
        <w:adjustRightInd w:val="0"/>
        <w:snapToGrid w:val="0"/>
        <w:spacing w:line="480" w:lineRule="exac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3F3EA797">
      <w:pPr>
        <w:adjustRightInd w:val="0"/>
        <w:snapToGrid w:val="0"/>
        <w:spacing w:line="480" w:lineRule="exac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5、投标供应商须提供详尽的售后服务内容和承诺。</w:t>
      </w:r>
    </w:p>
    <w:p w14:paraId="2BC20F6E">
      <w:pPr>
        <w:adjustRightInd w:val="0"/>
        <w:snapToGrid w:val="0"/>
        <w:spacing w:line="480" w:lineRule="exact"/>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 xml:space="preserve">   6、保修期满后成交供应商向采购方提供合同设备的终身维修服务，只收零备件费，并以优惠价格提供。</w:t>
      </w:r>
    </w:p>
    <w:p w14:paraId="464B0401">
      <w:pPr>
        <w:adjustRightInd w:val="0"/>
        <w:snapToGrid w:val="0"/>
        <w:spacing w:line="480" w:lineRule="exact"/>
        <w:rPr>
          <w:rFonts w:hint="eastAsia" w:ascii="宋体" w:hAnsi="宋体" w:eastAsia="宋体" w:cs="宋体"/>
          <w:b/>
          <w:kern w:val="0"/>
          <w:sz w:val="28"/>
          <w:szCs w:val="28"/>
        </w:rPr>
      </w:pPr>
      <w:r>
        <w:rPr>
          <w:rFonts w:hint="eastAsia" w:ascii="宋体" w:hAnsi="宋体" w:cs="宋体"/>
          <w:b/>
          <w:kern w:val="0"/>
          <w:sz w:val="28"/>
          <w:szCs w:val="28"/>
          <w:lang w:eastAsia="zh-CN"/>
        </w:rPr>
        <w:t>三</w:t>
      </w:r>
      <w:bookmarkStart w:id="2" w:name="_GoBack"/>
      <w:bookmarkEnd w:id="2"/>
      <w:r>
        <w:rPr>
          <w:rFonts w:hint="eastAsia" w:ascii="宋体" w:hAnsi="宋体" w:eastAsia="宋体" w:cs="宋体"/>
          <w:b/>
          <w:kern w:val="0"/>
          <w:sz w:val="28"/>
          <w:szCs w:val="28"/>
        </w:rPr>
        <w:t xml:space="preserve">、其他要求  </w:t>
      </w:r>
    </w:p>
    <w:p w14:paraId="042FBFFD">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1、供应商应保证货物是全新、未使用过的，并完全符合合同规定的质量、规格和性能的要求的正品。供应商应保证其货物在正确安装、使用和保养条的件下，在其使用寿命内应具有满意的性能。在货物最终验收后的质量保证期内，卖方应对由于设计、工艺或材料的缺陷而发生的任何不足或故障负责，费用由卖方负担。</w:t>
      </w:r>
    </w:p>
    <w:p w14:paraId="4A3B4965">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2、在质保期内，供应商在收到买方关于产品质量问题的通知后七天内，应免费维修或更换有缺陷的货物或部件。</w:t>
      </w:r>
    </w:p>
    <w:p w14:paraId="43342797">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 xml:space="preserve">3、如果供应商在收到通知七天后没有弥补缺陷，买方可采取必要的补救措施，但风险和费用将由卖方承担。  </w:t>
      </w:r>
    </w:p>
    <w:p w14:paraId="7BE130C2">
      <w:pPr>
        <w:adjustRightInd w:val="0"/>
        <w:snapToGrid w:val="0"/>
        <w:spacing w:line="480" w:lineRule="exact"/>
        <w:ind w:firstLine="560" w:firstLineChars="200"/>
        <w:rPr>
          <w:rFonts w:hint="eastAsia" w:ascii="宋体" w:hAnsi="宋体" w:eastAsia="宋体" w:cs="宋体"/>
          <w:spacing w:val="-11"/>
          <w:kern w:val="0"/>
          <w:sz w:val="28"/>
          <w:szCs w:val="28"/>
        </w:rPr>
      </w:pPr>
      <w:r>
        <w:rPr>
          <w:rFonts w:hint="eastAsia" w:ascii="宋体" w:hAnsi="宋体" w:eastAsia="宋体" w:cs="宋体"/>
          <w:kern w:val="0"/>
          <w:sz w:val="28"/>
          <w:szCs w:val="28"/>
        </w:rPr>
        <w:t>4、</w:t>
      </w:r>
      <w:r>
        <w:rPr>
          <w:rFonts w:hint="eastAsia" w:ascii="宋体" w:hAnsi="宋体" w:eastAsia="宋体" w:cs="宋体"/>
          <w:spacing w:val="-11"/>
          <w:kern w:val="0"/>
          <w:sz w:val="28"/>
          <w:szCs w:val="28"/>
        </w:rPr>
        <w:t>供应商的报价应包含所投货物、包装、加工及加工损耗、运输、现场落地、安装及安装损耗、措施费、安全、调试、检测验收和交付后约定期限内免费维保等工作所发生的一切应有费用。投标报价为签订合同的依据。</w:t>
      </w:r>
    </w:p>
    <w:p w14:paraId="6F05DE92">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5、采购人和相关部门按照国家规定的标准验收，没有国家标准的按行业标准验收，无行业标准的按地方或企业标准验收，成交人予以配合。如因中标方原因，导致不能达到本项目的验收要求，采购人有权终止本项目，同时承担相应的违约责任。</w:t>
      </w:r>
    </w:p>
    <w:p w14:paraId="36B5B6EE">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6、中标人所有货物及配套设备须提供至少3年的免费质保服务（自采购人验收合格之日起计算）。所有质保费用均已包含在投标总报价中。免费质保期内，若设备或部件发生故障或存在缺陷，中标人须提供原设备制造商售后维修和更换服务，费用包含在此次总投标价中。免费质保期满后，应提供优先的有偿售后服务及按不高于投标文件中主要配件、易损件清单所报价格供应原厂零配件等。免费质保期内软件免费升级。</w:t>
      </w:r>
    </w:p>
    <w:p w14:paraId="2E568AEC">
      <w:pPr>
        <w:adjustRightInd w:val="0"/>
        <w:snapToGrid w:val="0"/>
        <w:spacing w:line="480" w:lineRule="exact"/>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7、其他未尽事宜，双方在合同中商定。</w:t>
      </w:r>
    </w:p>
    <w:p w14:paraId="506255B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96B13"/>
    <w:rsid w:val="76E96B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2025-06-06T01:49:00Z</dcterms:created>
  <dc:creator>WPS_1528079767</dc:creator>
  <cp:lastModifiedBy>WPS_1528079767</cp:lastModifiedBy>
  <dcterms:modified xsi:type="dcterms:W3CDTF">2025-06-06T01:50:07Z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8F8A2B391B4844ACA45A74182653CFF0_11</vt:lpwstr>
  </property>
  <property fmtid="{D5CDD505-2E9C-101B-9397-08002B2CF9AE}" pid="4" name="KSOTemplateDocerSaveRecord">
    <vt:lpwstr>eyJoZGlkIjoiZDg1NzY4OTVhZGRiYTQ4MTExMzMxMzBlNWY5NzYyNWYiLCJ1c2VySWQiOiIzNzU4NTU5NTkifQ==</vt:lpwstr>
  </property>
</Properties>
</file>