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75B62">
      <w:pPr>
        <w:ind w:firstLine="2891" w:firstLineChars="90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项目需求</w:t>
      </w:r>
    </w:p>
    <w:p w14:paraId="316A1D59">
      <w:pPr>
        <w:pStyle w:val="2"/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：为改善就医环境，提升医疗服务质量，促进我院体检中心发展，开展中老年、孕妇、儿童等特殊人群的骨密度筛查尤为重要。我院决定采购骨密度仪一套。</w:t>
      </w:r>
    </w:p>
    <w:p w14:paraId="608DDB4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定量超声骨密度测量系统参数</w:t>
      </w:r>
    </w:p>
    <w:p w14:paraId="04D7C0E7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1.1、设备用途:用于对受试者桡骨/胫骨骨密度或骨强度进行检验;可实现婴幼儿、儿童、青少年、成人、孕妇、老人的骨密度、骨骼健康状况检查;儿童骨骼发育电子档案研究儿童骨骼发展趋势的研究。</w:t>
      </w:r>
    </w:p>
    <w:p w14:paraId="6E735721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1.2、总体要求:超声骨强度仪是主要利用骨质对声速(S0S)和超声衰减度(BUA)的变化来无创、无损、无辅射检测人体骨密度骨强度等生理学参数，对儿童生理发育有很大的参考价值和指导价值。</w:t>
      </w:r>
    </w:p>
    <w:p w14:paraId="05259634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1.3、详细的技术参数:</w:t>
      </w:r>
    </w:p>
    <w:p w14:paraId="1F64248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1、全千式，检查流程全自动简约一体化;</w:t>
      </w:r>
    </w:p>
    <w:p w14:paraId="17E26130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*2、多部位测量(桡骨+胫骨)(指骨可选);(提供软件截图或彩色报告单证明)</w:t>
      </w:r>
    </w:p>
    <w:p w14:paraId="6866B030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*3、测量主机内部为双插孔电路设计、可升级配置指骨探头:(提供证明)</w:t>
      </w:r>
    </w:p>
    <w:p w14:paraId="2DFBF3D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4、探头中心频率:1.25MHZ，工作频率:0.8MHZ:</w:t>
      </w:r>
    </w:p>
    <w:p w14:paraId="67506395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5、探头自动导航，晶体状态显示:测量时探头具有四晶体 T0、RO、T1、R1信号接发收状态显示信号强度;(提供证明文件)</w:t>
      </w:r>
    </w:p>
    <w:p w14:paraId="1F4FF914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6、声速 S0S 测量范围:2200-4800m/s，S0S 测量重复度(≤0.1%)(提供证明):</w:t>
      </w:r>
    </w:p>
    <w:p w14:paraId="61BAB169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7、配置专业婴儿/儿童软件和成人软件包;儿童软件可播放动画视频，吸引儿童注意力，有助于儿童测量:</w:t>
      </w:r>
    </w:p>
    <w:p w14:paraId="7B35742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8、世界多人种正常参考值数据库;</w:t>
      </w:r>
    </w:p>
    <w:p w14:paraId="25263403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9、单元测量:&lt;25 秒;</w:t>
      </w:r>
    </w:p>
    <w:p w14:paraId="7F7B6E7F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10、计算参数:T值，Z值，骨质量指数(BQI)，骨骼的生理年龄(PAB)，预期发生骨质疏松的年龄(EOA)，相对骨折风险(RRF)等;</w:t>
      </w:r>
    </w:p>
    <w:p w14:paraId="05089B45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11、SQV 体模校准检验及温度校准软件;</w:t>
      </w:r>
    </w:p>
    <w:p w14:paraId="23B518B2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*12、设备的超声探头检测系统软件、骨密度测量系统软件、骨密度主机板 USB 调试系统、骨密度仪电脑编程接口及测试系统需通过中国国家版权局的认证，具备实用新型专利证书;(提供国家版权局计算机软件著作权证书和专利证书)</w:t>
      </w:r>
    </w:p>
    <w:p w14:paraId="3653AEE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*13、标准版台车一体机，嵌入式测量组件(非外置采集盒组合台车)，需具备嵌入式软件认证(提供证明)</w:t>
      </w:r>
    </w:p>
    <w:p w14:paraId="5E404130">
      <w:pPr>
        <w:numPr>
          <w:ilvl w:val="0"/>
          <w:numId w:val="2"/>
        </w:num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需具备硬件接口和软件接口，可提供内网连接协议，完整的网络体系兼容功能:</w:t>
      </w:r>
    </w:p>
    <w:p w14:paraId="0183792F">
      <w:pPr>
        <w:numPr>
          <w:ilvl w:val="0"/>
          <w:numId w:val="0"/>
        </w:num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*15、需可配置同品牌跟骨测量和尺骨测量;(提供证明)</w:t>
      </w:r>
    </w:p>
    <w:p w14:paraId="40914DD2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*16、产品厂家需满足参与【YY/T0774-2019中华人民共和国医药行业标准一超声骨密度仪】(提供证明文件)</w:t>
      </w:r>
    </w:p>
    <w:p w14:paraId="26204F0A"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注：1、以上参数标“★”项为必须满足项，投标时标“★” 参数部分须提供相关证明材料予以佐证。</w:t>
      </w:r>
    </w:p>
    <w:p w14:paraId="6FA9B33E"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相关要求</w:t>
      </w:r>
    </w:p>
    <w:p w14:paraId="58AFBC65">
      <w:pPr>
        <w:wordWrap w:val="0"/>
        <w:spacing w:line="336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货物的生产、安装、维修、检验、验收等按照以下原则执行：有国家标准的执行国家标准；无国家标准的执行行业标准；无行业标准的执行地方标准；无地方标准的执行企业标准。</w:t>
      </w:r>
    </w:p>
    <w:p w14:paraId="4178EFB9">
      <w:pPr>
        <w:wordWrap w:val="0"/>
        <w:spacing w:line="336" w:lineRule="auto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2.供应商</w:t>
      </w:r>
      <w:r>
        <w:rPr>
          <w:rFonts w:hint="eastAsia" w:ascii="仿宋" w:hAnsi="仿宋" w:eastAsia="仿宋" w:cs="仿宋"/>
          <w:bCs/>
          <w:sz w:val="24"/>
          <w:szCs w:val="24"/>
        </w:rPr>
        <w:t>提供的货物必须满足主要技术参数及配置要求，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Cs/>
          <w:sz w:val="24"/>
          <w:szCs w:val="24"/>
        </w:rPr>
        <w:t>可以选用替代的方案，但这种替代整体上要优于或相当于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采购文件</w:t>
      </w:r>
      <w:r>
        <w:rPr>
          <w:rFonts w:hint="eastAsia" w:ascii="仿宋" w:hAnsi="仿宋" w:eastAsia="仿宋" w:cs="仿宋"/>
          <w:bCs/>
          <w:sz w:val="24"/>
          <w:szCs w:val="24"/>
        </w:rPr>
        <w:t>的相关要求。</w:t>
      </w:r>
    </w:p>
    <w:p w14:paraId="3387CD6D">
      <w:pPr>
        <w:wordWrap w:val="0"/>
        <w:spacing w:line="336" w:lineRule="auto"/>
        <w:rPr>
          <w:rFonts w:hint="eastAsia" w:ascii="仿宋" w:hAnsi="仿宋" w:eastAsia="仿宋" w:cs="仿宋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b/>
          <w:sz w:val="24"/>
          <w:szCs w:val="24"/>
        </w:rPr>
        <w:t>供货时</w:t>
      </w:r>
      <w:r>
        <w:rPr>
          <w:rFonts w:hint="eastAsia" w:ascii="仿宋" w:hAnsi="仿宋" w:eastAsia="仿宋" w:cs="仿宋"/>
          <w:bCs/>
          <w:sz w:val="24"/>
          <w:szCs w:val="24"/>
        </w:rPr>
        <w:t>所有货物</w:t>
      </w:r>
      <w:r>
        <w:rPr>
          <w:rFonts w:hint="eastAsia" w:ascii="仿宋" w:hAnsi="仿宋" w:eastAsia="仿宋" w:cs="仿宋"/>
          <w:sz w:val="24"/>
          <w:szCs w:val="24"/>
        </w:rPr>
        <w:t>（包括零部件）</w:t>
      </w:r>
      <w:r>
        <w:rPr>
          <w:rFonts w:hint="eastAsia" w:ascii="仿宋" w:hAnsi="仿宋" w:eastAsia="仿宋" w:cs="仿宋"/>
          <w:bCs/>
          <w:sz w:val="24"/>
          <w:szCs w:val="24"/>
        </w:rPr>
        <w:t>须为</w:t>
      </w:r>
      <w:r>
        <w:rPr>
          <w:rFonts w:hint="eastAsia" w:ascii="仿宋" w:hAnsi="仿宋" w:eastAsia="仿宋" w:cs="仿宋"/>
          <w:sz w:val="24"/>
          <w:szCs w:val="24"/>
        </w:rPr>
        <w:t>全新的、未使用过的</w:t>
      </w:r>
      <w:r>
        <w:rPr>
          <w:rFonts w:hint="eastAsia" w:ascii="仿宋" w:hAnsi="仿宋" w:eastAsia="仿宋" w:cs="仿宋"/>
          <w:bCs/>
          <w:sz w:val="24"/>
          <w:szCs w:val="24"/>
        </w:rPr>
        <w:t>原装正品，</w:t>
      </w:r>
      <w:r>
        <w:rPr>
          <w:rFonts w:hint="eastAsia" w:ascii="仿宋" w:hAnsi="仿宋" w:eastAsia="仿宋" w:cs="仿宋"/>
          <w:sz w:val="24"/>
          <w:szCs w:val="24"/>
        </w:rPr>
        <w:t>并完全符合国家质量标准，</w:t>
      </w:r>
      <w:r>
        <w:rPr>
          <w:rFonts w:hint="eastAsia" w:ascii="仿宋" w:hAnsi="仿宋" w:eastAsia="仿宋" w:cs="仿宋"/>
          <w:bCs/>
          <w:sz w:val="24"/>
          <w:szCs w:val="24"/>
        </w:rPr>
        <w:t>提供厂家出具的合格证书、有国家强制性认证要求的产品须提</w:t>
      </w:r>
      <w:r>
        <w:rPr>
          <w:rFonts w:hint="eastAsia" w:ascii="仿宋" w:hAnsi="仿宋" w:eastAsia="仿宋" w:cs="仿宋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供相应证书，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货物的技术参数及配置情况必须由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提供国家相关检测机构出具的检验报告、生产厂家公开发布的印刷资料等技术资料予以支持。没有技术资料支持的技术参数及配置不能视为响应。 </w:t>
      </w:r>
      <w:r>
        <w:rPr>
          <w:rFonts w:hint="eastAsia" w:ascii="仿宋" w:hAnsi="仿宋" w:eastAsia="仿宋" w:cs="仿宋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（厂家出具的合格证书供货时提供）</w:t>
      </w:r>
    </w:p>
    <w:p w14:paraId="14C06F72">
      <w:pPr>
        <w:wordWrap w:val="0"/>
        <w:spacing w:line="336" w:lineRule="auto"/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技术支持</w:t>
      </w:r>
    </w:p>
    <w:p w14:paraId="3CBFDDAA">
      <w:pPr>
        <w:wordWrap w:val="0"/>
        <w:spacing w:line="336" w:lineRule="auto"/>
        <w:ind w:firstLine="240" w:firstLineChars="10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4.1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应向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提供全方位、及时而有效的技术支持和服务。</w:t>
      </w:r>
    </w:p>
    <w:p w14:paraId="13B05CDA">
      <w:pPr>
        <w:wordWrap w:val="0"/>
        <w:spacing w:line="336" w:lineRule="auto"/>
        <w:ind w:firstLine="240" w:firstLineChars="10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4.2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负责供货、安装、调试。</w:t>
      </w:r>
    </w:p>
    <w:p w14:paraId="346CC317">
      <w:pPr>
        <w:wordWrap w:val="0"/>
        <w:spacing w:line="336" w:lineRule="auto"/>
        <w:ind w:firstLine="240" w:firstLineChars="10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4.3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负责将货物的全部有关技术文件（外文应提供中文翻译资料）、施工图纸、资料、测试、验收报告等汇集成册交付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，涉及进口的产品或部件配件软件等须提供中国海关进口货物报关单、完税证明及商检证明等材料。</w:t>
      </w:r>
    </w:p>
    <w:p w14:paraId="606864DC">
      <w:pPr>
        <w:spacing w:line="336" w:lineRule="auto"/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质保及售后服务：</w:t>
      </w:r>
    </w:p>
    <w:p w14:paraId="618156E6">
      <w:pPr>
        <w:spacing w:line="336" w:lineRule="auto"/>
        <w:ind w:firstLine="240" w:firstLineChars="100"/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质保期自验收合格之日起不低于三年，质保期内所有部件免费质保、免费维修。</w:t>
      </w:r>
    </w:p>
    <w:p w14:paraId="381832D9">
      <w:pPr>
        <w:spacing w:line="336" w:lineRule="auto"/>
        <w:ind w:firstLine="240" w:firstLineChars="10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5.2、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须设有维修服务电话，负责解答用户在货物使用中遇到的问题，及时提出解决问题的建议和操作方法。</w:t>
      </w:r>
    </w:p>
    <w:p w14:paraId="32CCBBD4">
      <w:pPr>
        <w:spacing w:line="336" w:lineRule="auto"/>
        <w:ind w:firstLine="240" w:firstLineChars="100"/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5.3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、售后服务响应时间：如货物出现故障，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必须在接报修电话2小时内响应，电话响应无法解决，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必须在接报修电话12小时内到达现场，24小时内解决问题，若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在24小时内无法解决问题的，需免费提供备品备件满足设备正常运行。</w:t>
      </w:r>
    </w:p>
    <w:p w14:paraId="6AA86BC2">
      <w:pPr>
        <w:numPr>
          <w:ilvl w:val="1"/>
          <w:numId w:val="0"/>
        </w:numPr>
        <w:tabs>
          <w:tab w:val="left" w:pos="2847"/>
        </w:tabs>
        <w:spacing w:line="336" w:lineRule="auto"/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交货期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：合同签订后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30日内</w:t>
      </w:r>
    </w:p>
    <w:p w14:paraId="58DFE485">
      <w:pPr>
        <w:numPr>
          <w:ilvl w:val="1"/>
          <w:numId w:val="0"/>
        </w:numPr>
        <w:tabs>
          <w:tab w:val="left" w:pos="2847"/>
        </w:tabs>
        <w:spacing w:line="336" w:lineRule="auto"/>
        <w:ind w:left="313" w:leftChars="149"/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交货地点：供应至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指定地点 。</w:t>
      </w:r>
    </w:p>
    <w:p w14:paraId="1501FBDA">
      <w:pPr>
        <w:numPr>
          <w:ilvl w:val="1"/>
          <w:numId w:val="0"/>
        </w:numPr>
        <w:tabs>
          <w:tab w:val="left" w:pos="2847"/>
          <w:tab w:val="left" w:pos="7545"/>
        </w:tabs>
        <w:spacing w:line="336" w:lineRule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验收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：按照国家规定标准验收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在交货时，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应配合买方对标的物的质量、规格、性能、数量等进行详细而全面的检验，并出具一份合格检验证明，合格检验证明作为验收的依据，但不能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作为有关标的物质量、规格、数量或性能的最终检验结果。</w:t>
      </w:r>
    </w:p>
    <w:p w14:paraId="677B6904">
      <w:pPr>
        <w:spacing w:line="336" w:lineRule="auto"/>
        <w:rPr>
          <w:rFonts w:hint="eastAsia" w:ascii="仿宋" w:hAnsi="仿宋" w:eastAsia="仿宋" w:cs="仿宋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8、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付款方式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验收合格后，凭有效的发票30日内付款至合同价的100%.</w:t>
      </w:r>
    </w:p>
    <w:p w14:paraId="0D9052BD">
      <w:pPr>
        <w:wordWrap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</w:p>
    <w:p w14:paraId="315117FD">
      <w:pPr>
        <w:rPr>
          <w:rFonts w:hint="eastAsia" w:ascii="仿宋" w:hAnsi="仿宋" w:eastAsia="仿宋" w:cs="仿宋"/>
          <w:sz w:val="24"/>
          <w:szCs w:val="24"/>
        </w:rPr>
      </w:pPr>
    </w:p>
    <w:p w14:paraId="4FB18ED4">
      <w:pPr>
        <w:rPr>
          <w:rFonts w:hint="eastAsia" w:ascii="仿宋" w:hAnsi="仿宋" w:eastAsia="仿宋" w:cs="仿宋"/>
          <w:sz w:val="24"/>
          <w:szCs w:val="24"/>
        </w:rPr>
      </w:pPr>
    </w:p>
    <w:p w14:paraId="07E56AB6">
      <w:pPr>
        <w:rPr>
          <w:rFonts w:hint="eastAsia" w:ascii="仿宋" w:hAnsi="仿宋" w:eastAsia="仿宋" w:cs="仿宋"/>
          <w:sz w:val="24"/>
          <w:szCs w:val="24"/>
        </w:rPr>
      </w:pPr>
    </w:p>
    <w:p w14:paraId="60E670BC">
      <w:pPr>
        <w:rPr>
          <w:rFonts w:hint="eastAsia" w:ascii="仿宋" w:hAnsi="仿宋" w:eastAsia="仿宋" w:cs="仿宋"/>
          <w:sz w:val="24"/>
          <w:szCs w:val="24"/>
        </w:rPr>
      </w:pPr>
    </w:p>
    <w:p w14:paraId="2CEFB4B4">
      <w:pPr>
        <w:rPr>
          <w:rFonts w:hint="eastAsia" w:ascii="仿宋" w:hAnsi="仿宋" w:eastAsia="仿宋" w:cs="仿宋"/>
          <w:sz w:val="24"/>
          <w:szCs w:val="24"/>
        </w:rPr>
      </w:pPr>
    </w:p>
    <w:p w14:paraId="16E45C06">
      <w:pPr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3F4B58"/>
    <w:multiLevelType w:val="singleLevel"/>
    <w:tmpl w:val="AD3F4B58"/>
    <w:lvl w:ilvl="0" w:tentative="0">
      <w:start w:val="14"/>
      <w:numFmt w:val="decimal"/>
      <w:suff w:val="nothing"/>
      <w:lvlText w:val="%1、"/>
      <w:lvlJc w:val="left"/>
    </w:lvl>
  </w:abstractNum>
  <w:abstractNum w:abstractNumId="1">
    <w:nsid w:val="1B0E6960"/>
    <w:multiLevelType w:val="singleLevel"/>
    <w:tmpl w:val="1B0E696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EA6BBF"/>
    <w:rsid w:val="08745FFF"/>
    <w:rsid w:val="286E6264"/>
    <w:rsid w:val="3CEA6BBF"/>
    <w:rsid w:val="4904664C"/>
    <w:rsid w:val="53A81E6C"/>
    <w:rsid w:val="53CE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iPriority="39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ind w:left="420" w:firstLine="420" w:firstLineChars="200"/>
    </w:pPr>
    <w:rPr>
      <w:kern w:val="0"/>
      <w:sz w:val="20"/>
      <w:szCs w:val="20"/>
    </w:rPr>
  </w:style>
  <w:style w:type="paragraph" w:styleId="3">
    <w:name w:val="Body Text Indent"/>
    <w:basedOn w:val="1"/>
    <w:next w:val="4"/>
    <w:qFormat/>
    <w:uiPriority w:val="99"/>
    <w:pPr>
      <w:spacing w:after="120"/>
      <w:ind w:left="200" w:leftChars="200"/>
    </w:pPr>
  </w:style>
  <w:style w:type="paragraph" w:styleId="4">
    <w:name w:val="envelope return"/>
    <w:basedOn w:val="1"/>
    <w:next w:val="5"/>
    <w:qFormat/>
    <w:uiPriority w:val="0"/>
    <w:pPr>
      <w:snapToGrid w:val="0"/>
    </w:pPr>
    <w:rPr>
      <w:rFonts w:ascii="Arial" w:hAnsi="Arial"/>
    </w:rPr>
  </w:style>
  <w:style w:type="paragraph" w:styleId="5">
    <w:name w:val="toc 7"/>
    <w:basedOn w:val="1"/>
    <w:next w:val="1"/>
    <w:unhideWhenUsed/>
    <w:qFormat/>
    <w:uiPriority w:val="39"/>
    <w:pPr>
      <w:ind w:left="126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1740</Words>
  <Characters>1873</Characters>
  <Lines>0</Lines>
  <Paragraphs>0</Paragraphs>
  <TotalTime>4</TotalTime>
  <ScaleCrop>false</ScaleCrop>
  <LinksUpToDate>false</LinksUpToDate>
  <CharactersWithSpaces>1884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2025-03-27T07:23:00Z</dcterms:created>
  <dc:creator>NTKO</dc:creator>
  <cp:lastModifiedBy>NTKO</cp:lastModifiedBy>
  <dcterms:modified xsi:type="dcterms:W3CDTF">2025-05-22T01:14:11Z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42BFAC4F47824925BCCB4C62DB450AA1_13</vt:lpwstr>
  </property>
  <property fmtid="{D5CDD505-2E9C-101B-9397-08002B2CF9AE}" pid="4" name="KSOTemplateDocerSaveRecord">
    <vt:lpwstr>eyJoZGlkIjoiNDI4YWQ2NzUyODlmMzFlNjA1NWRhZTJhZDkwM2Q1N2EiLCJ1c2VySWQiOiI2MjcyNjkwNzEifQ==</vt:lpwstr>
  </property>
</Properties>
</file>