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4681F">
      <w:pPr>
        <w:ind w:firstLine="801" w:firstLineChars="200"/>
        <w:rPr>
          <w:rFonts w:hint="eastAsia" w:ascii="华文中宋" w:hAnsi="华文中宋" w:eastAsia="华文中宋"/>
          <w:b/>
          <w:sz w:val="40"/>
          <w:szCs w:val="40"/>
        </w:rPr>
      </w:pPr>
      <w:r>
        <w:rPr>
          <w:rFonts w:hint="eastAsia" w:ascii="华文中宋" w:hAnsi="华文中宋" w:eastAsia="华文中宋"/>
          <w:b/>
          <w:sz w:val="40"/>
          <w:szCs w:val="40"/>
        </w:rPr>
        <w:t>枞阳县人民医院肺功能测试仪采购项目</w:t>
      </w:r>
    </w:p>
    <w:p w14:paraId="4BF62424">
      <w:pPr>
        <w:tabs>
          <w:tab w:val="left" w:pos="851"/>
        </w:tabs>
        <w:adjustRightInd w:val="0"/>
        <w:snapToGrid w:val="0"/>
        <w:spacing w:line="480" w:lineRule="exact"/>
        <w:ind w:firstLine="3203" w:firstLineChars="800"/>
        <w:jc w:val="left"/>
        <w:rPr>
          <w:rFonts w:hint="eastAsia" w:ascii="宋体" w:hAnsi="宋体" w:eastAsia="宋体"/>
          <w:color w:val="000000"/>
          <w:sz w:val="28"/>
          <w:szCs w:val="28"/>
          <w:shd w:val="clear" w:color="auto" w:fill="FFFFFF"/>
          <w:lang w:eastAsia="zh-CN"/>
        </w:rPr>
      </w:pPr>
      <w:r>
        <w:rPr>
          <w:rFonts w:hint="eastAsia" w:ascii="华文中宋" w:hAnsi="华文中宋" w:eastAsia="华文中宋"/>
          <w:b/>
          <w:sz w:val="40"/>
          <w:szCs w:val="40"/>
          <w:lang w:val="en-US" w:eastAsia="zh-CN"/>
        </w:rPr>
        <w:t>采购需求</w:t>
      </w:r>
    </w:p>
    <w:p w14:paraId="6F6B43E3">
      <w:pPr>
        <w:tabs>
          <w:tab w:val="left" w:pos="900"/>
        </w:tabs>
        <w:adjustRightInd w:val="0"/>
        <w:snapToGrid w:val="0"/>
        <w:spacing w:line="500" w:lineRule="exact"/>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4AE5CC8E">
      <w:pPr>
        <w:keepNext w:val="0"/>
        <w:keepLines w:val="0"/>
        <w:pageBreakBefore w:val="0"/>
        <w:tabs>
          <w:tab w:val="left" w:pos="900"/>
        </w:tabs>
        <w:kinsoku/>
        <w:wordWrap/>
        <w:overflowPunct/>
        <w:topLinePunct w:val="0"/>
        <w:autoSpaceDE/>
        <w:autoSpaceDN/>
        <w:bidi w:val="0"/>
        <w:adjustRightInd w:val="0"/>
        <w:snapToGrid w:val="0"/>
        <w:spacing w:line="500" w:lineRule="exact"/>
        <w:ind w:firstLine="562" w:firstLineChars="200"/>
        <w:textAlignment w:val="auto"/>
        <w:rPr>
          <w:rFonts w:hint="eastAsia" w:ascii="宋体" w:hAnsi="宋体" w:cs="仿宋"/>
          <w:b/>
          <w:sz w:val="28"/>
          <w:szCs w:val="28"/>
          <w:highlight w:val="none"/>
        </w:rPr>
      </w:pPr>
      <w:r>
        <w:rPr>
          <w:rFonts w:hint="eastAsia" w:ascii="宋体" w:hAnsi="宋体" w:cs="仿宋"/>
          <w:b/>
          <w:sz w:val="28"/>
          <w:szCs w:val="28"/>
        </w:rPr>
        <w:t>枞阳县人民医院需要采购一台</w:t>
      </w:r>
      <w:r>
        <w:rPr>
          <w:rFonts w:hint="eastAsia" w:ascii="宋体" w:hAnsi="宋体" w:cs="仿宋"/>
          <w:b/>
          <w:sz w:val="28"/>
          <w:szCs w:val="28"/>
          <w:lang w:eastAsia="zh-CN"/>
        </w:rPr>
        <w:t>肺功能测试仪；</w:t>
      </w:r>
      <w:r>
        <w:rPr>
          <w:rFonts w:hint="eastAsia" w:ascii="宋体" w:hAnsi="宋体" w:cs="仿宋"/>
          <w:b/>
          <w:sz w:val="28"/>
          <w:szCs w:val="28"/>
          <w:highlight w:val="none"/>
        </w:rPr>
        <w:t>技术参数如下：</w:t>
      </w:r>
    </w:p>
    <w:p w14:paraId="343ADE2A">
      <w:pPr>
        <w:keepNext w:val="0"/>
        <w:keepLines w:val="0"/>
        <w:pageBreakBefore w:val="0"/>
        <w:kinsoku/>
        <w:wordWrap/>
        <w:overflowPunct/>
        <w:topLinePunct w:val="0"/>
        <w:autoSpaceDE/>
        <w:autoSpaceDN/>
        <w:bidi w:val="0"/>
        <w:spacing w:line="500" w:lineRule="exact"/>
        <w:jc w:val="left"/>
        <w:textAlignment w:val="auto"/>
        <w:rPr>
          <w:rFonts w:hint="eastAsia" w:ascii="宋体" w:hAnsi="宋体" w:eastAsia="宋体" w:cs="宋体"/>
          <w:b/>
          <w:sz w:val="28"/>
          <w:szCs w:val="28"/>
        </w:rPr>
      </w:pPr>
      <w:r>
        <w:rPr>
          <w:rFonts w:hint="eastAsia" w:ascii="宋体" w:hAnsi="宋体" w:cs="宋体"/>
          <w:b/>
          <w:sz w:val="28"/>
          <w:szCs w:val="28"/>
          <w:lang w:eastAsia="zh-CN"/>
        </w:rPr>
        <w:t>（</w:t>
      </w:r>
      <w:r>
        <w:rPr>
          <w:rFonts w:hint="eastAsia" w:ascii="宋体" w:hAnsi="宋体" w:cs="宋体"/>
          <w:b/>
          <w:sz w:val="28"/>
          <w:szCs w:val="28"/>
          <w:lang w:val="en-US" w:eastAsia="zh-CN"/>
        </w:rPr>
        <w:t>一</w:t>
      </w:r>
      <w:r>
        <w:rPr>
          <w:rFonts w:hint="eastAsia" w:ascii="宋体" w:hAnsi="宋体" w:cs="宋体"/>
          <w:b/>
          <w:sz w:val="28"/>
          <w:szCs w:val="28"/>
          <w:lang w:eastAsia="zh-CN"/>
        </w:rPr>
        <w:t>）</w:t>
      </w:r>
      <w:r>
        <w:rPr>
          <w:rFonts w:hint="eastAsia" w:ascii="宋体" w:hAnsi="宋体" w:eastAsia="宋体" w:cs="宋体"/>
          <w:b/>
          <w:sz w:val="28"/>
          <w:szCs w:val="28"/>
        </w:rPr>
        <w:t>产品标准及认证：</w:t>
      </w:r>
    </w:p>
    <w:p w14:paraId="47720972">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kern w:val="0"/>
          <w:sz w:val="28"/>
          <w:szCs w:val="28"/>
        </w:rPr>
      </w:pPr>
      <w:r>
        <w:rPr>
          <w:rFonts w:hint="eastAsia" w:ascii="宋体" w:hAnsi="宋体" w:eastAsia="宋体" w:cs="宋体"/>
          <w:bCs/>
          <w:kern w:val="0"/>
          <w:sz w:val="28"/>
          <w:szCs w:val="28"/>
        </w:rPr>
        <w:t>1、产品注册名称：肺功能仪或肺功能测试仪等；</w:t>
      </w:r>
    </w:p>
    <w:p w14:paraId="3FCA50F3">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sz w:val="28"/>
          <w:szCs w:val="28"/>
        </w:rPr>
      </w:pPr>
      <w:r>
        <w:rPr>
          <w:rFonts w:hint="eastAsia" w:ascii="宋体" w:hAnsi="宋体" w:eastAsia="宋体" w:cs="宋体"/>
          <w:bCs/>
          <w:kern w:val="0"/>
          <w:sz w:val="28"/>
          <w:szCs w:val="28"/>
        </w:rPr>
        <w:t>2、</w:t>
      </w:r>
      <w:r>
        <w:rPr>
          <w:rFonts w:hint="eastAsia" w:ascii="宋体" w:hAnsi="宋体" w:eastAsia="宋体" w:cs="宋体"/>
          <w:sz w:val="28"/>
          <w:szCs w:val="28"/>
        </w:rPr>
        <w:t>产品注册标准：符符合国家肺功能仪有关技术要求标准，性能指标通过ISO国际认证。</w:t>
      </w:r>
    </w:p>
    <w:p w14:paraId="2D6E077A">
      <w:pPr>
        <w:pStyle w:val="2"/>
        <w:keepNext w:val="0"/>
        <w:keepLines w:val="0"/>
        <w:pageBreakBefore w:val="0"/>
        <w:kinsoku/>
        <w:wordWrap/>
        <w:overflowPunct/>
        <w:topLinePunct w:val="0"/>
        <w:autoSpaceDE/>
        <w:autoSpaceDN/>
        <w:bidi w:val="0"/>
        <w:spacing w:line="500" w:lineRule="exact"/>
        <w:ind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bCs/>
          <w:kern w:val="0"/>
          <w:sz w:val="28"/>
          <w:szCs w:val="28"/>
        </w:rPr>
        <w:t>、</w:t>
      </w:r>
      <w:r>
        <w:rPr>
          <w:rFonts w:hint="eastAsia" w:ascii="宋体" w:hAnsi="宋体" w:eastAsia="宋体" w:cs="宋体"/>
          <w:bCs/>
          <w:sz w:val="28"/>
          <w:szCs w:val="28"/>
        </w:rPr>
        <w:t>★</w:t>
      </w:r>
      <w:r>
        <w:rPr>
          <w:rFonts w:hint="eastAsia" w:ascii="宋体" w:hAnsi="宋体" w:eastAsia="宋体" w:cs="宋体"/>
          <w:bCs/>
          <w:kern w:val="0"/>
          <w:sz w:val="28"/>
          <w:szCs w:val="28"/>
        </w:rPr>
        <w:t>产品标配工作站和3L定标桶。</w:t>
      </w:r>
    </w:p>
    <w:p w14:paraId="6F3FE274">
      <w:pPr>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二</w:t>
      </w:r>
      <w:r>
        <w:rPr>
          <w:rFonts w:hint="eastAsia" w:ascii="宋体" w:hAnsi="宋体" w:cs="宋体"/>
          <w:b/>
          <w:bCs/>
          <w:sz w:val="28"/>
          <w:szCs w:val="28"/>
          <w:lang w:eastAsia="zh-CN"/>
        </w:rPr>
        <w:t>）</w:t>
      </w:r>
      <w:r>
        <w:rPr>
          <w:rFonts w:hint="eastAsia" w:ascii="宋体" w:hAnsi="宋体" w:eastAsia="宋体" w:cs="宋体"/>
          <w:b/>
          <w:bCs/>
          <w:sz w:val="28"/>
          <w:szCs w:val="28"/>
        </w:rPr>
        <w:t>产品技术参数</w:t>
      </w:r>
    </w:p>
    <w:p w14:paraId="4E8C02B1">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1、★传感器技术：压差式金属材料流速传感器；</w:t>
      </w:r>
    </w:p>
    <w:p w14:paraId="3EAC1F2B">
      <w:pPr>
        <w:keepNext w:val="0"/>
        <w:keepLines w:val="0"/>
        <w:pageBreakBefore w:val="0"/>
        <w:kinsoku/>
        <w:wordWrap/>
        <w:overflowPunct/>
        <w:topLinePunct w:val="0"/>
        <w:autoSpaceDE/>
        <w:autoSpaceDN/>
        <w:bidi w:val="0"/>
        <w:spacing w:line="500" w:lineRule="exact"/>
        <w:ind w:firstLine="280" w:firstLineChars="100"/>
        <w:textAlignment w:val="auto"/>
        <w:rPr>
          <w:rFonts w:hint="eastAsia" w:ascii="宋体" w:hAnsi="宋体" w:eastAsia="宋体" w:cs="宋体"/>
          <w:sz w:val="28"/>
          <w:szCs w:val="24"/>
        </w:rPr>
      </w:pPr>
      <w:r>
        <w:rPr>
          <w:rFonts w:hint="eastAsia" w:ascii="宋体" w:hAnsi="宋体" w:eastAsia="宋体" w:cs="宋体"/>
          <w:sz w:val="28"/>
          <w:szCs w:val="24"/>
        </w:rPr>
        <w:t>容量：范围：(0～10)L，最大示值误差：±3％或±0.05L（取大值）</w:t>
      </w:r>
    </w:p>
    <w:p w14:paraId="05072E43">
      <w:pPr>
        <w:keepNext w:val="0"/>
        <w:keepLines w:val="0"/>
        <w:pageBreakBefore w:val="0"/>
        <w:kinsoku/>
        <w:wordWrap/>
        <w:overflowPunct/>
        <w:topLinePunct w:val="0"/>
        <w:autoSpaceDE/>
        <w:autoSpaceDN/>
        <w:bidi w:val="0"/>
        <w:spacing w:line="500" w:lineRule="exact"/>
        <w:ind w:firstLine="280" w:firstLineChars="100"/>
        <w:textAlignment w:val="auto"/>
        <w:rPr>
          <w:rFonts w:hint="eastAsia" w:ascii="宋体" w:hAnsi="宋体" w:eastAsia="宋体" w:cs="宋体"/>
          <w:sz w:val="28"/>
          <w:szCs w:val="24"/>
        </w:rPr>
      </w:pPr>
      <w:r>
        <w:rPr>
          <w:rFonts w:hint="eastAsia" w:ascii="宋体" w:hAnsi="宋体" w:eastAsia="宋体" w:cs="宋体"/>
          <w:sz w:val="28"/>
          <w:szCs w:val="24"/>
        </w:rPr>
        <w:t>流速：范围：(0～16)L/s，最大示值误差：±5％或±0.17L/s（取大值）</w:t>
      </w:r>
    </w:p>
    <w:p w14:paraId="1DB72F24">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宋体" w:hAnsi="宋体" w:eastAsia="宋体" w:cs="宋体"/>
          <w:sz w:val="28"/>
          <w:szCs w:val="24"/>
        </w:rPr>
      </w:pPr>
      <w:r>
        <w:rPr>
          <w:rFonts w:hint="eastAsia" w:ascii="宋体" w:hAnsi="宋体" w:eastAsia="宋体" w:cs="宋体"/>
          <w:sz w:val="28"/>
          <w:szCs w:val="24"/>
        </w:rPr>
        <w:t>流速的线性度：两次相邻测试流速的平均误差的差值应不超过两次测试流速大者的5%。</w:t>
      </w:r>
    </w:p>
    <w:p w14:paraId="072FB2C4">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宋体" w:hAnsi="宋体" w:eastAsia="宋体" w:cs="宋体"/>
          <w:sz w:val="28"/>
          <w:szCs w:val="24"/>
        </w:rPr>
      </w:pPr>
      <w:r>
        <w:rPr>
          <w:rFonts w:hint="eastAsia" w:ascii="宋体" w:hAnsi="宋体" w:eastAsia="宋体" w:cs="宋体"/>
          <w:sz w:val="28"/>
          <w:szCs w:val="24"/>
        </w:rPr>
        <w:t>流速的气流阻力：测试范围内的气流的阻力应不超过0.35kPa/(L/s)</w:t>
      </w:r>
    </w:p>
    <w:p w14:paraId="5CD55E75">
      <w:pPr>
        <w:keepNext w:val="0"/>
        <w:keepLines w:val="0"/>
        <w:pageBreakBefore w:val="0"/>
        <w:kinsoku/>
        <w:wordWrap/>
        <w:overflowPunct/>
        <w:topLinePunct w:val="0"/>
        <w:autoSpaceDE/>
        <w:autoSpaceDN/>
        <w:bidi w:val="0"/>
        <w:spacing w:line="500" w:lineRule="exact"/>
        <w:ind w:firstLine="560" w:firstLineChars="200"/>
        <w:textAlignment w:val="auto"/>
        <w:rPr>
          <w:rFonts w:hint="eastAsia" w:ascii="宋体" w:hAnsi="宋体" w:eastAsia="宋体" w:cs="宋体"/>
          <w:sz w:val="28"/>
          <w:szCs w:val="24"/>
        </w:rPr>
      </w:pPr>
      <w:r>
        <w:rPr>
          <w:rFonts w:hint="eastAsia" w:ascii="宋体" w:hAnsi="宋体" w:eastAsia="宋体" w:cs="宋体"/>
          <w:sz w:val="28"/>
          <w:szCs w:val="24"/>
        </w:rPr>
        <w:t>流速的频率响应：PEF读数的差值应不超过±12％或±0.25L/s，两者取较大值</w:t>
      </w:r>
    </w:p>
    <w:p w14:paraId="6D686F19">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★2、可测量参数包括用力肺活量FVC、慢肺活量SVC、肺活量VC、每分钟最大通气量MVV、静息分钟通气量MV等相关功能共100多项参数</w:t>
      </w:r>
    </w:p>
    <w:p w14:paraId="219512B1">
      <w:pPr>
        <w:keepNext w:val="0"/>
        <w:keepLines w:val="0"/>
        <w:pageBreakBefore w:val="0"/>
        <w:widowControl/>
        <w:kinsoku/>
        <w:wordWrap/>
        <w:overflowPunct/>
        <w:topLinePunct w:val="0"/>
        <w:autoSpaceDE/>
        <w:autoSpaceDN/>
        <w:bidi w:val="0"/>
        <w:spacing w:line="500" w:lineRule="exact"/>
        <w:ind w:firstLine="560" w:firstLineChars="200"/>
        <w:jc w:val="left"/>
        <w:textAlignment w:val="auto"/>
        <w:rPr>
          <w:rFonts w:hint="eastAsia" w:ascii="宋体" w:hAnsi="宋体" w:eastAsia="宋体" w:cs="宋体"/>
          <w:bCs/>
          <w:sz w:val="28"/>
          <w:szCs w:val="28"/>
        </w:rPr>
      </w:pPr>
      <w:r>
        <w:rPr>
          <w:rFonts w:hint="eastAsia" w:ascii="宋体" w:hAnsi="宋体" w:eastAsia="宋体" w:cs="宋体"/>
          <w:bCs/>
          <w:sz w:val="28"/>
          <w:szCs w:val="28"/>
        </w:rPr>
        <w:t>1）用力肺活量测试（FVC）：FVC、FEV0.5、FEV1、FEV3、FEV6、V backextrapol.ex、FVC IN（FIVC）、FIV0.5、FIV1、V backextrapol.in、FEV1/FVC、PEF、FEF25、FEF50、FEF75、FEF25/75、MEF25、MEF50、MEF75、MMEF25/75、MEF、MMF、PIF、PIF50、MIF、FET、FEF200-1200、T backextrapol.ex、T backextrapol.in、FEV1%FVC、FEV3%FVC、FEV1%VC IN、FEV1%VC EX、FEV1%VC MAX、FEV1*30、V backextrapol.%FVC、FEF50%FVC50%、FIV1%FVC、FIV1%VC MAX、FEF50%FIF50、FEV1%FIV1、VBEin%FVCin、ELA、FVC%P、FEV1%P、PEF%P、MMEF75/25%P、FEF25/75%P、MEF25%P、MEF50%P、MEF75%P、FEF25%P、FEF50%P、FEF75%P、（FEV1 1% FVC1）%P等；</w:t>
      </w:r>
    </w:p>
    <w:p w14:paraId="47D4CCE7">
      <w:pPr>
        <w:keepNext w:val="0"/>
        <w:keepLines w:val="0"/>
        <w:pageBreakBefore w:val="0"/>
        <w:widowControl/>
        <w:kinsoku/>
        <w:wordWrap/>
        <w:overflowPunct/>
        <w:topLinePunct w:val="0"/>
        <w:autoSpaceDE/>
        <w:autoSpaceDN/>
        <w:bidi w:val="0"/>
        <w:spacing w:line="500" w:lineRule="exact"/>
        <w:ind w:firstLine="560" w:firstLineChars="200"/>
        <w:jc w:val="left"/>
        <w:textAlignment w:val="auto"/>
        <w:rPr>
          <w:rFonts w:hint="eastAsia" w:ascii="宋体" w:hAnsi="宋体" w:eastAsia="宋体" w:cs="宋体"/>
          <w:bCs/>
          <w:sz w:val="28"/>
          <w:szCs w:val="28"/>
        </w:rPr>
      </w:pPr>
      <w:r>
        <w:rPr>
          <w:rFonts w:hint="eastAsia" w:ascii="宋体" w:hAnsi="宋体" w:eastAsia="宋体" w:cs="宋体"/>
          <w:bCs/>
          <w:sz w:val="28"/>
          <w:szCs w:val="28"/>
        </w:rPr>
        <w:t>2）慢肺活量测试 （SVC）：VC、VC MAX、VC IN、VC EX、IC、IC%P、IRV、IRV%P、ERV、ERV%P、VC%P、VT、VT%P、MV、TIN、TEX、TTOT、BF、BF%P、TIN/TTON、TEX/TTON、TIN/TEX、VC% 等；</w:t>
      </w:r>
    </w:p>
    <w:p w14:paraId="4D631792">
      <w:pPr>
        <w:keepNext w:val="0"/>
        <w:keepLines w:val="0"/>
        <w:pageBreakBefore w:val="0"/>
        <w:widowControl/>
        <w:kinsoku/>
        <w:wordWrap/>
        <w:overflowPunct/>
        <w:topLinePunct w:val="0"/>
        <w:autoSpaceDE/>
        <w:autoSpaceDN/>
        <w:bidi w:val="0"/>
        <w:spacing w:line="500" w:lineRule="exact"/>
        <w:ind w:firstLine="560" w:firstLineChars="200"/>
        <w:jc w:val="left"/>
        <w:textAlignment w:val="auto"/>
        <w:rPr>
          <w:rFonts w:hint="eastAsia" w:ascii="宋体" w:hAnsi="宋体" w:eastAsia="宋体" w:cs="宋体"/>
          <w:bCs/>
          <w:sz w:val="28"/>
          <w:szCs w:val="28"/>
        </w:rPr>
      </w:pPr>
      <w:r>
        <w:rPr>
          <w:rFonts w:hint="eastAsia" w:ascii="宋体" w:hAnsi="宋体" w:eastAsia="宋体" w:cs="宋体"/>
          <w:bCs/>
          <w:sz w:val="28"/>
          <w:szCs w:val="28"/>
        </w:rPr>
        <w:t>★3）每分钟最大通气量（MVV）：MVV、MVV%P、VT MVV、TIME MVV、BF MVV、MVV% 等；</w:t>
      </w:r>
    </w:p>
    <w:p w14:paraId="5DE8AD7D">
      <w:pPr>
        <w:pStyle w:val="2"/>
        <w:keepNext w:val="0"/>
        <w:keepLines w:val="0"/>
        <w:pageBreakBefore w:val="0"/>
        <w:kinsoku/>
        <w:wordWrap/>
        <w:overflowPunct/>
        <w:topLinePunct w:val="0"/>
        <w:autoSpaceDE/>
        <w:autoSpaceDN/>
        <w:bidi w:val="0"/>
        <w:spacing w:line="500" w:lineRule="exact"/>
        <w:textAlignment w:val="auto"/>
        <w:rPr>
          <w:rFonts w:hint="eastAsia" w:ascii="宋体" w:hAnsi="宋体" w:eastAsia="宋体" w:cs="宋体"/>
          <w:sz w:val="28"/>
          <w:szCs w:val="24"/>
        </w:rPr>
      </w:pPr>
      <w:r>
        <w:rPr>
          <w:rFonts w:hint="eastAsia" w:ascii="宋体" w:hAnsi="宋体" w:eastAsia="宋体" w:cs="宋体"/>
          <w:bCs/>
          <w:sz w:val="28"/>
          <w:szCs w:val="28"/>
        </w:rPr>
        <w:t xml:space="preserve"> </w:t>
      </w:r>
      <w:r>
        <w:rPr>
          <w:rFonts w:hint="eastAsia" w:hAnsi="宋体" w:cs="宋体"/>
          <w:bCs/>
          <w:sz w:val="28"/>
          <w:szCs w:val="28"/>
          <w:lang w:val="en-US" w:eastAsia="zh-CN"/>
        </w:rPr>
        <w:t xml:space="preserve">  </w:t>
      </w:r>
      <w:r>
        <w:rPr>
          <w:rFonts w:hint="eastAsia" w:ascii="宋体" w:hAnsi="宋体" w:eastAsia="宋体" w:cs="宋体"/>
          <w:bCs/>
          <w:sz w:val="28"/>
          <w:szCs w:val="28"/>
        </w:rPr>
        <w:t>★4）静息分钟通气量（MV）：RR MV、BR、VR、TV MV、tI MV、tE MV、ttot MV等；</w:t>
      </w:r>
    </w:p>
    <w:p w14:paraId="1E2BFC21">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★3、可进行支气管舒张试验、支气管激发试验；</w:t>
      </w:r>
      <w:r>
        <w:rPr>
          <w:rFonts w:hint="eastAsia" w:ascii="宋体" w:hAnsi="宋体" w:eastAsia="宋体" w:cs="宋体"/>
          <w:bCs/>
          <w:sz w:val="28"/>
          <w:szCs w:val="28"/>
        </w:rPr>
        <w:tab/>
      </w:r>
    </w:p>
    <w:p w14:paraId="7BB0C192">
      <w:pPr>
        <w:keepNext w:val="0"/>
        <w:keepLines w:val="0"/>
        <w:pageBreakBefore w:val="0"/>
        <w:widowControl/>
        <w:kinsoku/>
        <w:wordWrap/>
        <w:overflowPunct/>
        <w:topLinePunct w:val="0"/>
        <w:autoSpaceDE/>
        <w:autoSpaceDN/>
        <w:bidi w:val="0"/>
        <w:spacing w:line="500" w:lineRule="exact"/>
        <w:ind w:firstLine="268" w:firstLineChars="100"/>
        <w:jc w:val="left"/>
        <w:textAlignment w:val="auto"/>
        <w:rPr>
          <w:rFonts w:hint="eastAsia" w:ascii="宋体" w:hAnsi="宋体" w:eastAsia="宋体" w:cs="宋体"/>
          <w:bCs/>
          <w:spacing w:val="-6"/>
          <w:sz w:val="28"/>
          <w:szCs w:val="28"/>
        </w:rPr>
      </w:pPr>
      <w:r>
        <w:rPr>
          <w:rFonts w:hint="eastAsia" w:ascii="宋体" w:hAnsi="宋体" w:eastAsia="宋体" w:cs="宋体"/>
          <w:bCs/>
          <w:spacing w:val="-6"/>
          <w:sz w:val="28"/>
          <w:szCs w:val="28"/>
        </w:rPr>
        <w:t>4、双向检测：可双向连续检测及实时显示动态曲线（流量-容积曲线、容积-时间曲线），必须使用可将咬嘴置于口腔后连贯完成吸气和呼气动作；</w:t>
      </w:r>
    </w:p>
    <w:p w14:paraId="23499CD7">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5、便携式设计及数据传输：方便床旁检测，携带方便，支持USB连接、蓝牙连接，肺功能仪手柄可直接连接：笔记本电脑、台式电脑、便携机等以满足不同情况的肺功能检测；</w:t>
      </w:r>
    </w:p>
    <w:p w14:paraId="131A0786">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6、肺功能仪采用手柄式结构，手柄部位具备FVC,SVC,MVV,MV快速检测按键，可独立进行数据传输，压差式传感器直接安装在手柄部位，可不借助任何工具徒手拆卸，并用消毒液浸泡消毒避免交叉感染；连接采用硬连接结构，无任何外在的管路，以提高传感器的频率响应；</w:t>
      </w:r>
    </w:p>
    <w:p w14:paraId="60E8930D">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7、具备交叉感染的防控措施：可使用一次性肺功能仪用过滤嘴，且非专机专用耗材；</w:t>
      </w:r>
    </w:p>
    <w:p w14:paraId="2C426CDE">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8、打印模式：可连接PC打印A4报告、远程诊断打印报告，热敏报告；</w:t>
      </w:r>
    </w:p>
    <w:p w14:paraId="52D7C342">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9、信息录入：可扫描识别用户身份证信息，实现快捷录入患者信息；</w:t>
      </w:r>
    </w:p>
    <w:p w14:paraId="7E402097">
      <w:pPr>
        <w:keepNext w:val="0"/>
        <w:keepLines w:val="0"/>
        <w:pageBreakBefore w:val="0"/>
        <w:widowControl/>
        <w:kinsoku/>
        <w:wordWrap/>
        <w:overflowPunct/>
        <w:topLinePunct w:val="0"/>
        <w:autoSpaceDE/>
        <w:autoSpaceDN/>
        <w:bidi w:val="0"/>
        <w:spacing w:line="500" w:lineRule="exact"/>
        <w:ind w:firstLine="280" w:firstLineChars="100"/>
        <w:jc w:val="left"/>
        <w:textAlignment w:val="auto"/>
        <w:rPr>
          <w:rFonts w:hint="eastAsia" w:ascii="宋体" w:hAnsi="宋体" w:eastAsia="宋体" w:cs="宋体"/>
          <w:bCs/>
          <w:sz w:val="28"/>
          <w:szCs w:val="28"/>
        </w:rPr>
      </w:pPr>
      <w:r>
        <w:rPr>
          <w:rFonts w:hint="eastAsia" w:ascii="宋体" w:hAnsi="宋体" w:eastAsia="宋体" w:cs="宋体"/>
          <w:bCs/>
          <w:sz w:val="28"/>
          <w:szCs w:val="28"/>
        </w:rPr>
        <w:t>10、预计值模式：支持ECCS、Zapletal预计值和中国人预计值；</w:t>
      </w:r>
    </w:p>
    <w:p w14:paraId="50027706">
      <w:pPr>
        <w:keepNext w:val="0"/>
        <w:keepLines w:val="0"/>
        <w:pageBreakBefore w:val="0"/>
        <w:kinsoku/>
        <w:wordWrap/>
        <w:overflowPunct/>
        <w:topLinePunct w:val="0"/>
        <w:autoSpaceDE/>
        <w:autoSpaceDN/>
        <w:bidi w:val="0"/>
        <w:spacing w:line="500" w:lineRule="exact"/>
        <w:ind w:firstLine="280" w:firstLineChars="100"/>
        <w:textAlignment w:val="auto"/>
        <w:rPr>
          <w:rFonts w:hint="eastAsia" w:ascii="宋体" w:hAnsi="宋体" w:eastAsia="宋体" w:cs="宋体"/>
          <w:sz w:val="28"/>
          <w:szCs w:val="24"/>
        </w:rPr>
      </w:pPr>
      <w:r>
        <w:rPr>
          <w:rFonts w:hint="eastAsia" w:ascii="宋体" w:hAnsi="宋体" w:eastAsia="宋体" w:cs="宋体"/>
          <w:sz w:val="28"/>
          <w:szCs w:val="24"/>
        </w:rPr>
        <w:t>11</w:t>
      </w:r>
      <w:r>
        <w:rPr>
          <w:rFonts w:hint="eastAsia" w:ascii="宋体" w:hAnsi="宋体" w:eastAsia="宋体" w:cs="宋体"/>
          <w:bCs/>
          <w:sz w:val="28"/>
          <w:szCs w:val="28"/>
        </w:rPr>
        <w:t>、</w:t>
      </w:r>
      <w:r>
        <w:rPr>
          <w:rFonts w:hint="eastAsia" w:ascii="宋体" w:hAnsi="宋体" w:eastAsia="宋体" w:cs="宋体"/>
          <w:sz w:val="28"/>
          <w:szCs w:val="24"/>
        </w:rPr>
        <w:t>可通过测量值与预期值的比率显示测试者状况，具有多次测量显示最好值和趋势图功能。</w:t>
      </w:r>
    </w:p>
    <w:p w14:paraId="59246E45">
      <w:pPr>
        <w:pStyle w:val="2"/>
        <w:keepNext w:val="0"/>
        <w:keepLines w:val="0"/>
        <w:pageBreakBefore w:val="0"/>
        <w:kinsoku/>
        <w:wordWrap/>
        <w:overflowPunct/>
        <w:topLinePunct w:val="0"/>
        <w:autoSpaceDE/>
        <w:autoSpaceDN/>
        <w:bidi w:val="0"/>
        <w:spacing w:line="500" w:lineRule="exact"/>
        <w:ind w:firstLine="280" w:firstLineChars="100"/>
        <w:textAlignment w:val="auto"/>
        <w:rPr>
          <w:rFonts w:hint="eastAsia" w:ascii="宋体" w:hAnsi="宋体" w:eastAsia="宋体" w:cs="宋体"/>
          <w:sz w:val="28"/>
          <w:szCs w:val="24"/>
        </w:rPr>
      </w:pPr>
      <w:r>
        <w:rPr>
          <w:rFonts w:hint="eastAsia" w:ascii="宋体" w:hAnsi="宋体" w:eastAsia="宋体" w:cs="宋体"/>
          <w:sz w:val="28"/>
          <w:szCs w:val="24"/>
        </w:rPr>
        <w:t>12、检测年龄：6-100岁。</w:t>
      </w:r>
    </w:p>
    <w:p w14:paraId="19905949">
      <w:pPr>
        <w:pStyle w:val="2"/>
        <w:keepNext w:val="0"/>
        <w:keepLines w:val="0"/>
        <w:pageBreakBefore w:val="0"/>
        <w:kinsoku/>
        <w:wordWrap/>
        <w:overflowPunct/>
        <w:topLinePunct w:val="0"/>
        <w:autoSpaceDE/>
        <w:autoSpaceDN/>
        <w:bidi w:val="0"/>
        <w:spacing w:line="500" w:lineRule="exact"/>
        <w:textAlignment w:val="auto"/>
        <w:rPr>
          <w:rFonts w:hint="eastAsia" w:ascii="宋体" w:hAnsi="宋体" w:cs="宋体"/>
          <w:b/>
          <w:bCs/>
          <w:sz w:val="28"/>
          <w:szCs w:val="28"/>
        </w:rPr>
      </w:pPr>
      <w:r>
        <w:rPr>
          <w:rFonts w:hint="eastAsia" w:ascii="宋体" w:hAnsi="宋体" w:cs="宋体"/>
          <w:b/>
          <w:bCs/>
          <w:sz w:val="28"/>
          <w:szCs w:val="28"/>
        </w:rPr>
        <w:t>注：</w:t>
      </w:r>
      <w:r>
        <w:rPr>
          <w:rFonts w:hint="eastAsia" w:hAnsi="宋体" w:cs="宋体"/>
          <w:b/>
          <w:bCs/>
          <w:sz w:val="28"/>
          <w:szCs w:val="28"/>
          <w:lang w:val="en-US" w:eastAsia="zh-CN"/>
        </w:rPr>
        <w:t>1、</w:t>
      </w:r>
      <w:r>
        <w:rPr>
          <w:rFonts w:hint="eastAsia" w:ascii="宋体" w:hAnsi="宋体" w:cs="宋体"/>
          <w:b/>
          <w:bCs/>
          <w:sz w:val="28"/>
          <w:szCs w:val="28"/>
        </w:rPr>
        <w:t>以上参数标“</w:t>
      </w:r>
      <w:r>
        <w:rPr>
          <w:rFonts w:hint="eastAsia" w:ascii="宋体" w:hAnsi="宋体" w:cs="宋体"/>
          <w:b/>
          <w:bCs/>
          <w:kern w:val="0"/>
          <w:sz w:val="32"/>
          <w:szCs w:val="32"/>
        </w:rPr>
        <w:t>★</w:t>
      </w:r>
      <w:r>
        <w:rPr>
          <w:rFonts w:hint="eastAsia" w:ascii="宋体" w:hAnsi="宋体" w:cs="宋体"/>
          <w:b/>
          <w:bCs/>
          <w:sz w:val="28"/>
          <w:szCs w:val="28"/>
        </w:rPr>
        <w:t>”项为必须满足项，如出现负偏离按照无效标处理。投标时标“</w:t>
      </w:r>
      <w:r>
        <w:rPr>
          <w:rFonts w:hint="eastAsia" w:ascii="宋体" w:hAnsi="宋体" w:cs="宋体"/>
          <w:b/>
          <w:bCs/>
          <w:kern w:val="0"/>
          <w:sz w:val="32"/>
          <w:szCs w:val="32"/>
        </w:rPr>
        <w:t>★</w:t>
      </w:r>
      <w:r>
        <w:rPr>
          <w:rFonts w:hint="eastAsia" w:ascii="宋体" w:hAnsi="宋体" w:cs="宋体"/>
          <w:b/>
          <w:bCs/>
          <w:sz w:val="28"/>
          <w:szCs w:val="28"/>
        </w:rPr>
        <w:t>” 参数部分须</w:t>
      </w:r>
      <w:r>
        <w:rPr>
          <w:rFonts w:hint="eastAsia" w:ascii="宋体" w:hAnsi="宋体" w:eastAsia="宋体" w:cs="宋体"/>
          <w:b/>
          <w:bCs w:val="0"/>
          <w:sz w:val="28"/>
          <w:szCs w:val="28"/>
          <w:lang w:eastAsia="zh-CN"/>
        </w:rPr>
        <w:t>提供检验报告或说明书</w:t>
      </w:r>
      <w:r>
        <w:rPr>
          <w:rFonts w:hint="eastAsia" w:ascii="宋体" w:hAnsi="宋体" w:cs="宋体"/>
          <w:b/>
          <w:bCs/>
          <w:sz w:val="28"/>
          <w:szCs w:val="28"/>
        </w:rPr>
        <w:t>予以佐证。</w:t>
      </w:r>
    </w:p>
    <w:p w14:paraId="0B2FDCC8">
      <w:pPr>
        <w:spacing w:line="460" w:lineRule="exact"/>
        <w:ind w:firstLine="562" w:firstLineChars="200"/>
        <w:rPr>
          <w:rFonts w:hint="eastAsia" w:ascii="宋体" w:hAnsi="宋体" w:cs="宋体"/>
          <w:b/>
          <w:kern w:val="0"/>
          <w:sz w:val="28"/>
          <w:szCs w:val="28"/>
        </w:rPr>
      </w:pPr>
      <w:r>
        <w:rPr>
          <w:rFonts w:hint="eastAsia" w:ascii="宋体" w:hAnsi="宋体" w:cs="宋体"/>
          <w:b/>
          <w:kern w:val="0"/>
          <w:sz w:val="28"/>
          <w:szCs w:val="28"/>
        </w:rPr>
        <w:t>2、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7D2A8E27">
      <w:pPr>
        <w:spacing w:line="460" w:lineRule="exact"/>
        <w:rPr>
          <w:rFonts w:hint="eastAsia" w:ascii="宋体" w:hAnsi="宋体" w:cs="宋体"/>
          <w:b/>
          <w:kern w:val="0"/>
          <w:sz w:val="28"/>
          <w:szCs w:val="28"/>
        </w:rPr>
      </w:pPr>
      <w:r>
        <w:rPr>
          <w:rFonts w:hint="eastAsia" w:ascii="宋体" w:hAnsi="宋体" w:cs="宋体"/>
          <w:b/>
          <w:kern w:val="0"/>
          <w:sz w:val="28"/>
          <w:szCs w:val="28"/>
          <w:lang w:val="en-US" w:eastAsia="zh-CN"/>
        </w:rPr>
        <w:t>二</w:t>
      </w:r>
      <w:bookmarkStart w:id="0" w:name="_GoBack"/>
      <w:bookmarkEnd w:id="0"/>
      <w:r>
        <w:rPr>
          <w:rFonts w:hint="eastAsia" w:ascii="宋体" w:hAnsi="宋体" w:cs="宋体"/>
          <w:b/>
          <w:kern w:val="0"/>
          <w:sz w:val="28"/>
          <w:szCs w:val="28"/>
        </w:rPr>
        <w:t>、质保期及售后服务</w:t>
      </w:r>
    </w:p>
    <w:p w14:paraId="68C44943">
      <w:pPr>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171A6E2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7AF169D6">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5347D4B4">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F3EA79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02D82482">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3920C6A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56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2025-05-19T01:14:35Z</dcterms:created>
  <dc:creator>admin</dc:creator>
  <cp:lastModifiedBy>夏未凉</cp:lastModifiedBy>
  <dcterms:modified xsi:type="dcterms:W3CDTF">2025-05-19T01:16:24Z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4635A76263C84DAAB9E86112F0E15570_12</vt:lpwstr>
  </property>
</Properties>
</file>